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A7F7" w14:textId="0330368D" w:rsidR="0027387E" w:rsidRPr="004749C5" w:rsidRDefault="0091606A" w:rsidP="004749C5">
      <w:pPr>
        <w:pStyle w:val="Heading1"/>
        <w:spacing w:after="220"/>
      </w:pPr>
      <w:r w:rsidRPr="004749C5">
        <w:t>Physician</w:t>
      </w:r>
      <w:r w:rsidR="009C6DEC" w:rsidRPr="004749C5">
        <w:t>s’</w:t>
      </w:r>
      <w:r w:rsidRPr="004749C5">
        <w:t xml:space="preserve"> Comparability Allowance</w:t>
      </w:r>
      <w:r w:rsidR="00306BE0" w:rsidRPr="004749C5">
        <w:t xml:space="preserve"> </w:t>
      </w:r>
      <w:r w:rsidR="005554AF" w:rsidRPr="004749C5">
        <w:t xml:space="preserve">(PCA) </w:t>
      </w:r>
      <w:r w:rsidR="00872793" w:rsidRPr="004749C5">
        <w:t>Worksheet</w:t>
      </w:r>
    </w:p>
    <w:p w14:paraId="7F0B7D67" w14:textId="77777777" w:rsidR="00E03D6E" w:rsidRDefault="00054F9C" w:rsidP="008302B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Agency</w:t>
      </w:r>
      <w:r w:rsidR="0091606A" w:rsidRPr="001D6214">
        <w:rPr>
          <w:rFonts w:ascii="Times New Roman" w:hAnsi="Times New Roman"/>
          <w:b/>
          <w:sz w:val="24"/>
          <w:szCs w:val="24"/>
        </w:rPr>
        <w:t>:</w:t>
      </w:r>
    </w:p>
    <w:p w14:paraId="29A8EFE0" w14:textId="147ACA74" w:rsidR="00473C03" w:rsidRPr="00FD1B57" w:rsidRDefault="00054F9C" w:rsidP="004749C5">
      <w:pPr>
        <w:spacing w:after="5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point (</w:t>
      </w:r>
      <w:r w:rsidR="009D4556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ame, email address, phone number):</w:t>
      </w:r>
    </w:p>
    <w:tbl>
      <w:tblPr>
        <w:tblW w:w="9643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6493"/>
        <w:gridCol w:w="3150"/>
      </w:tblGrid>
      <w:tr w:rsidR="00B6686F" w:rsidRPr="00744D41" w14:paraId="259D4F10" w14:textId="77777777" w:rsidTr="004749C5">
        <w:trPr>
          <w:trHeight w:val="418"/>
        </w:trPr>
        <w:tc>
          <w:tcPr>
            <w:tcW w:w="6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D7BAD" w14:textId="5EA9003B" w:rsidR="00B6686F" w:rsidRPr="00BD5134" w:rsidRDefault="00B6686F" w:rsidP="001725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269E6534" w14:textId="21E6731E" w:rsidR="00B6686F" w:rsidRPr="001D6214" w:rsidRDefault="00B6686F" w:rsidP="001725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D62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FY 2020</w:t>
            </w:r>
          </w:p>
        </w:tc>
      </w:tr>
      <w:tr w:rsidR="00B6686F" w:rsidRPr="00744D41" w14:paraId="44D31E35" w14:textId="77777777" w:rsidTr="004749C5">
        <w:trPr>
          <w:trHeight w:val="174"/>
        </w:trPr>
        <w:tc>
          <w:tcPr>
            <w:tcW w:w="6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EEE41E" w14:textId="74829053" w:rsidR="00B6686F" w:rsidRPr="001249E5" w:rsidRDefault="00B6686F" w:rsidP="001249E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49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Number of Physicians Receiving PCAs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1B6E" w14:textId="76CA1767" w:rsidR="00B6686F" w:rsidRPr="00744D41" w:rsidRDefault="00B6686F" w:rsidP="00172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6686F" w:rsidRPr="00744D41" w14:paraId="71C889D5" w14:textId="77777777" w:rsidTr="004749C5">
        <w:trPr>
          <w:trHeight w:val="210"/>
        </w:trPr>
        <w:tc>
          <w:tcPr>
            <w:tcW w:w="6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AA986" w14:textId="0589A62F" w:rsidR="00B6686F" w:rsidRPr="001249E5" w:rsidRDefault="00B6686F" w:rsidP="001249E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49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Number of Physicians with One-Year PCA Agreements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6474" w14:textId="41F0BBC9" w:rsidR="00B6686F" w:rsidRPr="00744D41" w:rsidRDefault="00B6686F" w:rsidP="00172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6686F" w:rsidRPr="00744D41" w14:paraId="210372E1" w14:textId="77777777" w:rsidTr="004749C5">
        <w:trPr>
          <w:trHeight w:val="210"/>
        </w:trPr>
        <w:tc>
          <w:tcPr>
            <w:tcW w:w="6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5CAC76" w14:textId="03612D02" w:rsidR="00B6686F" w:rsidRPr="001249E5" w:rsidRDefault="00B6686F" w:rsidP="001249E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49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Number of Physicians with Multi-Year PCA Agreements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0FCEA" w14:textId="77777777" w:rsidR="00B6686F" w:rsidRPr="00744D41" w:rsidRDefault="00B6686F" w:rsidP="00172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6686F" w:rsidRPr="00744D41" w14:paraId="22267B18" w14:textId="77777777" w:rsidTr="004749C5">
        <w:trPr>
          <w:trHeight w:val="210"/>
        </w:trPr>
        <w:tc>
          <w:tcPr>
            <w:tcW w:w="6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5ADB5C" w14:textId="7C2FE505" w:rsidR="00B6686F" w:rsidRPr="001249E5" w:rsidRDefault="00B6686F" w:rsidP="001249E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49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Average Annual PCA Physician Pay (without PCA payment)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E260C" w14:textId="77777777" w:rsidR="00B6686F" w:rsidRPr="00744D41" w:rsidRDefault="00B6686F" w:rsidP="00172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6686F" w:rsidRPr="00744D41" w14:paraId="652B2B40" w14:textId="77777777" w:rsidTr="004749C5">
        <w:trPr>
          <w:trHeight w:val="210"/>
        </w:trPr>
        <w:tc>
          <w:tcPr>
            <w:tcW w:w="6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4D0E4D" w14:textId="00FC30FE" w:rsidR="00B6686F" w:rsidRPr="001249E5" w:rsidRDefault="00B6686F" w:rsidP="001249E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49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Average Annual PCA Payment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7DDB" w14:textId="77777777" w:rsidR="00B6686F" w:rsidRPr="00744D41" w:rsidRDefault="00B6686F" w:rsidP="00172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43159784" w14:textId="4D7D04B3" w:rsidR="00B96CB9" w:rsidRPr="00FD1B57" w:rsidRDefault="00473C03" w:rsidP="001249E5">
      <w:pPr>
        <w:pStyle w:val="ListParagraph"/>
        <w:numPr>
          <w:ilvl w:val="0"/>
          <w:numId w:val="16"/>
        </w:numPr>
        <w:spacing w:before="420" w:after="220" w:line="240" w:lineRule="auto"/>
        <w:rPr>
          <w:rFonts w:ascii="Arial" w:eastAsia="Times New Roman" w:hAnsi="Arial" w:cs="Arial"/>
          <w:sz w:val="20"/>
          <w:szCs w:val="20"/>
        </w:rPr>
      </w:pPr>
      <w:r w:rsidRPr="00B96CB9">
        <w:rPr>
          <w:rFonts w:ascii="Times New Roman" w:eastAsia="Times New Roman" w:hAnsi="Times New Roman" w:cs="Times New Roman"/>
          <w:sz w:val="24"/>
          <w:szCs w:val="24"/>
        </w:rPr>
        <w:t>Explain</w:t>
      </w:r>
      <w:r w:rsidR="007F49A4" w:rsidRPr="00B96CB9">
        <w:rPr>
          <w:rFonts w:ascii="Times New Roman" w:eastAsia="Times New Roman" w:hAnsi="Times New Roman" w:cs="Times New Roman"/>
          <w:sz w:val="24"/>
          <w:szCs w:val="24"/>
        </w:rPr>
        <w:t xml:space="preserve"> the r</w:t>
      </w:r>
      <w:r w:rsidR="00AA7343" w:rsidRPr="00B96CB9">
        <w:rPr>
          <w:rFonts w:ascii="Times New Roman" w:eastAsia="Times New Roman" w:hAnsi="Times New Roman" w:cs="Times New Roman"/>
          <w:sz w:val="24"/>
          <w:szCs w:val="24"/>
        </w:rPr>
        <w:t>ecruitment and retention</w:t>
      </w:r>
      <w:r w:rsidR="00172ADB" w:rsidRPr="00B96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FC7" w:rsidRPr="00B96CB9">
        <w:rPr>
          <w:rFonts w:ascii="Times New Roman" w:eastAsia="Times New Roman" w:hAnsi="Times New Roman" w:cs="Times New Roman"/>
          <w:sz w:val="24"/>
          <w:szCs w:val="24"/>
        </w:rPr>
        <w:t xml:space="preserve">problem(s) </w:t>
      </w:r>
      <w:r w:rsidR="00C8670D" w:rsidRPr="00B96CB9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DA2FD5" w:rsidRPr="00B96CB9">
        <w:rPr>
          <w:rFonts w:ascii="Times New Roman" w:eastAsia="Times New Roman" w:hAnsi="Times New Roman" w:cs="Times New Roman"/>
          <w:sz w:val="24"/>
          <w:szCs w:val="24"/>
        </w:rPr>
        <w:t>physician</w:t>
      </w:r>
      <w:r w:rsidR="00937ACC" w:rsidRPr="00B96C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670D" w:rsidRPr="00B96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6BAE" w:rsidRPr="00B96CB9">
        <w:rPr>
          <w:rFonts w:ascii="Times New Roman" w:eastAsia="Times New Roman" w:hAnsi="Times New Roman" w:cs="Times New Roman"/>
          <w:sz w:val="24"/>
          <w:szCs w:val="24"/>
        </w:rPr>
        <w:t>in yo</w:t>
      </w:r>
      <w:r w:rsidR="0009497F">
        <w:rPr>
          <w:rFonts w:ascii="Times New Roman" w:eastAsia="Times New Roman" w:hAnsi="Times New Roman" w:cs="Times New Roman"/>
          <w:sz w:val="24"/>
          <w:szCs w:val="24"/>
        </w:rPr>
        <w:t>u</w:t>
      </w:r>
      <w:r w:rsidR="00FA6BAE" w:rsidRPr="00B96CB9">
        <w:rPr>
          <w:rFonts w:ascii="Times New Roman" w:eastAsia="Times New Roman" w:hAnsi="Times New Roman" w:cs="Times New Roman"/>
          <w:sz w:val="24"/>
          <w:szCs w:val="24"/>
        </w:rPr>
        <w:t>r agency</w:t>
      </w:r>
      <w:r w:rsidR="00B82480" w:rsidRPr="00B96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F9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D1B57">
        <w:rPr>
          <w:rFonts w:ascii="Times New Roman" w:eastAsia="Times New Roman" w:hAnsi="Times New Roman" w:cs="Times New Roman"/>
          <w:sz w:val="24"/>
          <w:szCs w:val="24"/>
        </w:rPr>
        <w:br/>
      </w:r>
      <w:r w:rsidR="00054F9C">
        <w:rPr>
          <w:rFonts w:ascii="Times New Roman" w:eastAsia="Times New Roman" w:hAnsi="Times New Roman" w:cs="Times New Roman"/>
          <w:sz w:val="24"/>
          <w:szCs w:val="24"/>
        </w:rPr>
        <w:t>FY 2020</w:t>
      </w:r>
      <w:r w:rsidR="00371C4A" w:rsidRPr="001D6214">
        <w:rPr>
          <w:rFonts w:ascii="Arial" w:eastAsia="Times New Roman" w:hAnsi="Arial" w:cs="Arial"/>
          <w:sz w:val="20"/>
          <w:szCs w:val="20"/>
        </w:rPr>
        <w:t>.</w:t>
      </w:r>
    </w:p>
    <w:tbl>
      <w:tblPr>
        <w:tblW w:w="9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7F49A4" w:rsidRPr="00C654C3" w14:paraId="1AEEAD8B" w14:textId="77777777" w:rsidTr="001249E5">
        <w:trPr>
          <w:trHeight w:val="2981"/>
        </w:trPr>
        <w:tc>
          <w:tcPr>
            <w:tcW w:w="9540" w:type="dxa"/>
          </w:tcPr>
          <w:p w14:paraId="1126DCBB" w14:textId="36ED4B60" w:rsidR="007F49A4" w:rsidRPr="00C654C3" w:rsidRDefault="007F49A4" w:rsidP="002158A8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35737C9D" w14:textId="4C121316" w:rsidR="00B96CB9" w:rsidRPr="00FD1B57" w:rsidRDefault="00473C03" w:rsidP="001249E5">
      <w:pPr>
        <w:pStyle w:val="ListParagraph"/>
        <w:numPr>
          <w:ilvl w:val="0"/>
          <w:numId w:val="4"/>
        </w:numPr>
        <w:spacing w:before="24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CB9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="00123ECA" w:rsidRPr="00B96CB9">
        <w:rPr>
          <w:rFonts w:ascii="Times New Roman" w:eastAsia="Times New Roman" w:hAnsi="Times New Roman" w:cs="Times New Roman"/>
          <w:sz w:val="24"/>
          <w:szCs w:val="24"/>
        </w:rPr>
        <w:t>the degree to which</w:t>
      </w:r>
      <w:r w:rsidR="00C8670D" w:rsidRPr="00B96CB9">
        <w:rPr>
          <w:rFonts w:ascii="Times New Roman" w:eastAsia="Times New Roman" w:hAnsi="Times New Roman" w:cs="Times New Roman"/>
          <w:sz w:val="24"/>
          <w:szCs w:val="24"/>
        </w:rPr>
        <w:t xml:space="preserve"> recruitment </w:t>
      </w:r>
      <w:r w:rsidR="00FA6BAE" w:rsidRPr="00B96CB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C8670D" w:rsidRPr="00B96CB9">
        <w:rPr>
          <w:rFonts w:ascii="Times New Roman" w:eastAsia="Times New Roman" w:hAnsi="Times New Roman" w:cs="Times New Roman"/>
          <w:sz w:val="24"/>
          <w:szCs w:val="24"/>
        </w:rPr>
        <w:t xml:space="preserve">retention problems were alleviated </w:t>
      </w:r>
      <w:r w:rsidR="00FA6BAE" w:rsidRPr="00B96CB9">
        <w:rPr>
          <w:rFonts w:ascii="Times New Roman" w:eastAsia="Times New Roman" w:hAnsi="Times New Roman" w:cs="Times New Roman"/>
          <w:sz w:val="24"/>
          <w:szCs w:val="24"/>
        </w:rPr>
        <w:t>in your agency through the use of</w:t>
      </w:r>
      <w:r w:rsidR="001311A2" w:rsidRPr="00B96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134" w:rsidRPr="00B96CB9">
        <w:rPr>
          <w:rFonts w:ascii="Times New Roman" w:eastAsia="Times New Roman" w:hAnsi="Times New Roman" w:cs="Times New Roman"/>
          <w:sz w:val="24"/>
          <w:szCs w:val="24"/>
        </w:rPr>
        <w:t>PCA</w:t>
      </w:r>
      <w:r w:rsidR="00172ADB" w:rsidRPr="00B96C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054F9C">
        <w:rPr>
          <w:rFonts w:ascii="Times New Roman" w:eastAsia="Times New Roman" w:hAnsi="Times New Roman" w:cs="Times New Roman"/>
          <w:sz w:val="24"/>
          <w:szCs w:val="24"/>
        </w:rPr>
        <w:t xml:space="preserve"> in FY 2020</w:t>
      </w:r>
      <w:r w:rsidR="00BD5134" w:rsidRPr="00B96CB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E526EE" w:rsidRPr="00C654C3" w14:paraId="7BF0E593" w14:textId="77777777" w:rsidTr="00FA00F5">
        <w:trPr>
          <w:trHeight w:val="2938"/>
        </w:trPr>
        <w:tc>
          <w:tcPr>
            <w:tcW w:w="9540" w:type="dxa"/>
          </w:tcPr>
          <w:p w14:paraId="07A2645D" w14:textId="42484850" w:rsidR="00E526EE" w:rsidRPr="00C654C3" w:rsidRDefault="00E526EE" w:rsidP="0008597D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1BDB3EF1" w14:textId="4DA74962" w:rsidR="00A30632" w:rsidRPr="00FD1B57" w:rsidRDefault="003C6ED9" w:rsidP="00FA00F5">
      <w:pPr>
        <w:pStyle w:val="Heading2"/>
        <w:pageBreakBefore/>
        <w:spacing w:after="280"/>
      </w:pPr>
      <w:r w:rsidRPr="00FD1B57">
        <w:lastRenderedPageBreak/>
        <w:t xml:space="preserve">Guidance and Instructions for PCA </w:t>
      </w:r>
      <w:r w:rsidR="00A30632" w:rsidRPr="00FD1B57">
        <w:t>Worksheet</w:t>
      </w:r>
    </w:p>
    <w:p w14:paraId="450A5587" w14:textId="77777777" w:rsidR="00C71DDA" w:rsidRPr="00B96CB9" w:rsidRDefault="00C71DDA" w:rsidP="001B016D">
      <w:pPr>
        <w:spacing w:line="240" w:lineRule="auto"/>
        <w:rPr>
          <w:rFonts w:ascii="Times New Roman" w:hAnsi="Times New Roman"/>
          <w:sz w:val="24"/>
          <w:szCs w:val="24"/>
        </w:rPr>
      </w:pPr>
      <w:r w:rsidRPr="00B96CB9">
        <w:rPr>
          <w:rFonts w:ascii="Times New Roman" w:hAnsi="Times New Roman"/>
          <w:sz w:val="24"/>
          <w:szCs w:val="24"/>
        </w:rPr>
        <w:t xml:space="preserve">These instructions cover all agencies </w:t>
      </w:r>
      <w:r w:rsidR="00054F9C">
        <w:rPr>
          <w:rFonts w:ascii="Times New Roman" w:hAnsi="Times New Roman"/>
          <w:sz w:val="24"/>
          <w:szCs w:val="24"/>
        </w:rPr>
        <w:t>that made p</w:t>
      </w:r>
      <w:r w:rsidRPr="00B96CB9">
        <w:rPr>
          <w:rFonts w:ascii="Times New Roman" w:hAnsi="Times New Roman"/>
          <w:sz w:val="24"/>
          <w:szCs w:val="24"/>
        </w:rPr>
        <w:t>hysician</w:t>
      </w:r>
      <w:r w:rsidR="002A27BD" w:rsidRPr="00B96CB9">
        <w:rPr>
          <w:rFonts w:ascii="Times New Roman" w:hAnsi="Times New Roman"/>
          <w:sz w:val="24"/>
          <w:szCs w:val="24"/>
        </w:rPr>
        <w:t>s’</w:t>
      </w:r>
      <w:r w:rsidRPr="00B96CB9">
        <w:rPr>
          <w:rFonts w:ascii="Times New Roman" w:hAnsi="Times New Roman"/>
          <w:sz w:val="24"/>
          <w:szCs w:val="24"/>
        </w:rPr>
        <w:t xml:space="preserve"> </w:t>
      </w:r>
      <w:r w:rsidR="00054F9C">
        <w:rPr>
          <w:rFonts w:ascii="Times New Roman" w:hAnsi="Times New Roman"/>
          <w:sz w:val="24"/>
          <w:szCs w:val="24"/>
        </w:rPr>
        <w:t>c</w:t>
      </w:r>
      <w:r w:rsidRPr="00B96CB9">
        <w:rPr>
          <w:rFonts w:ascii="Times New Roman" w:hAnsi="Times New Roman"/>
          <w:sz w:val="24"/>
          <w:szCs w:val="24"/>
        </w:rPr>
        <w:t xml:space="preserve">omparability </w:t>
      </w:r>
      <w:r w:rsidR="00054F9C">
        <w:rPr>
          <w:rFonts w:ascii="Times New Roman" w:hAnsi="Times New Roman"/>
          <w:sz w:val="24"/>
          <w:szCs w:val="24"/>
        </w:rPr>
        <w:t>a</w:t>
      </w:r>
      <w:r w:rsidRPr="00B96CB9">
        <w:rPr>
          <w:rFonts w:ascii="Times New Roman" w:hAnsi="Times New Roman"/>
          <w:sz w:val="24"/>
          <w:szCs w:val="24"/>
        </w:rPr>
        <w:t>llowance (PCA) payments</w:t>
      </w:r>
      <w:r w:rsidR="00054F9C">
        <w:rPr>
          <w:rFonts w:ascii="Times New Roman" w:hAnsi="Times New Roman"/>
          <w:sz w:val="24"/>
          <w:szCs w:val="24"/>
        </w:rPr>
        <w:t xml:space="preserve"> in FY 2020</w:t>
      </w:r>
      <w:r w:rsidRPr="00B96CB9">
        <w:rPr>
          <w:rFonts w:ascii="Times New Roman" w:hAnsi="Times New Roman"/>
          <w:sz w:val="24"/>
          <w:szCs w:val="24"/>
        </w:rPr>
        <w:t xml:space="preserve">. </w:t>
      </w:r>
      <w:r w:rsidR="002537BF" w:rsidRPr="00B96CB9">
        <w:rPr>
          <w:rFonts w:ascii="Times New Roman" w:hAnsi="Times New Roman"/>
          <w:sz w:val="24"/>
          <w:szCs w:val="24"/>
        </w:rPr>
        <w:t xml:space="preserve">Eligibility for PCA is defined in 5 </w:t>
      </w:r>
      <w:r w:rsidR="003F586B" w:rsidRPr="00B96CB9">
        <w:rPr>
          <w:rFonts w:ascii="Times New Roman" w:hAnsi="Times New Roman"/>
          <w:sz w:val="24"/>
          <w:szCs w:val="24"/>
        </w:rPr>
        <w:t>U</w:t>
      </w:r>
      <w:r w:rsidR="002A27BD" w:rsidRPr="00B96CB9">
        <w:rPr>
          <w:rFonts w:ascii="Times New Roman" w:hAnsi="Times New Roman"/>
          <w:sz w:val="24"/>
          <w:szCs w:val="24"/>
        </w:rPr>
        <w:t>.</w:t>
      </w:r>
      <w:r w:rsidR="003F586B" w:rsidRPr="00B96CB9">
        <w:rPr>
          <w:rFonts w:ascii="Times New Roman" w:hAnsi="Times New Roman"/>
          <w:sz w:val="24"/>
          <w:szCs w:val="24"/>
        </w:rPr>
        <w:t>S</w:t>
      </w:r>
      <w:r w:rsidR="002A27BD" w:rsidRPr="00B96CB9">
        <w:rPr>
          <w:rFonts w:ascii="Times New Roman" w:hAnsi="Times New Roman"/>
          <w:sz w:val="24"/>
          <w:szCs w:val="24"/>
        </w:rPr>
        <w:t>.</w:t>
      </w:r>
      <w:r w:rsidR="003F586B" w:rsidRPr="00B96CB9">
        <w:rPr>
          <w:rFonts w:ascii="Times New Roman" w:hAnsi="Times New Roman"/>
          <w:sz w:val="24"/>
          <w:szCs w:val="24"/>
        </w:rPr>
        <w:t>C</w:t>
      </w:r>
      <w:r w:rsidR="002A27BD" w:rsidRPr="00B96CB9">
        <w:rPr>
          <w:rFonts w:ascii="Times New Roman" w:hAnsi="Times New Roman"/>
          <w:sz w:val="24"/>
          <w:szCs w:val="24"/>
        </w:rPr>
        <w:t>.</w:t>
      </w:r>
      <w:r w:rsidR="002537BF" w:rsidRPr="00B96CB9">
        <w:rPr>
          <w:rFonts w:ascii="Times New Roman" w:hAnsi="Times New Roman"/>
          <w:sz w:val="24"/>
          <w:szCs w:val="24"/>
        </w:rPr>
        <w:t xml:space="preserve"> 5948 and 5 CFR part 595. Al</w:t>
      </w:r>
      <w:r w:rsidR="00153D5F" w:rsidRPr="00B96CB9">
        <w:rPr>
          <w:rFonts w:ascii="Times New Roman" w:hAnsi="Times New Roman"/>
          <w:sz w:val="24"/>
          <w:szCs w:val="24"/>
        </w:rPr>
        <w:t>l data should be submitted in the PCA Worksheet</w:t>
      </w:r>
      <w:r w:rsidR="001D6214" w:rsidRPr="00B96CB9">
        <w:rPr>
          <w:rFonts w:ascii="Times New Roman" w:hAnsi="Times New Roman"/>
          <w:sz w:val="24"/>
          <w:szCs w:val="24"/>
        </w:rPr>
        <w:t>.</w:t>
      </w:r>
    </w:p>
    <w:p w14:paraId="387FFBCD" w14:textId="25B70214" w:rsidR="00A106B3" w:rsidRPr="00B96CB9" w:rsidRDefault="00A106B3" w:rsidP="001B016D">
      <w:pPr>
        <w:spacing w:line="240" w:lineRule="auto"/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</w:pPr>
      <w:r w:rsidRPr="00B96CB9">
        <w:rPr>
          <w:rFonts w:ascii="Times New Roman" w:hAnsi="Times New Roman"/>
          <w:sz w:val="24"/>
          <w:szCs w:val="24"/>
        </w:rPr>
        <w:t xml:space="preserve">For </w:t>
      </w:r>
      <w:r w:rsidR="00C71DDA" w:rsidRPr="00B96CB9">
        <w:rPr>
          <w:rFonts w:ascii="Times New Roman" w:hAnsi="Times New Roman"/>
          <w:sz w:val="24"/>
          <w:szCs w:val="24"/>
        </w:rPr>
        <w:t xml:space="preserve">more information on </w:t>
      </w:r>
      <w:r w:rsidRPr="00B96CB9">
        <w:rPr>
          <w:rFonts w:ascii="Times New Roman" w:hAnsi="Times New Roman"/>
          <w:sz w:val="24"/>
          <w:szCs w:val="24"/>
        </w:rPr>
        <w:t>PCA</w:t>
      </w:r>
      <w:r w:rsidR="00DC709E" w:rsidRPr="00B96CB9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303B29">
          <w:rPr>
            <w:rStyle w:val="Hyperlink"/>
            <w:rFonts w:ascii="Times New Roman" w:hAnsi="Times New Roman"/>
            <w:sz w:val="24"/>
            <w:szCs w:val="24"/>
          </w:rPr>
          <w:t>https://www.opm.gov/policy-data-oversight/pay-leave/pay-administration/fact-sheets/physicians-comparability-allowances</w:t>
        </w:r>
      </w:hyperlink>
      <w:r w:rsidRPr="00B96CB9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14:paraId="20EBC68F" w14:textId="77777777" w:rsidR="00FD43F1" w:rsidRPr="00FD1B57" w:rsidRDefault="00FD43F1" w:rsidP="00FD1B57">
      <w:pPr>
        <w:pStyle w:val="Heading3"/>
      </w:pPr>
      <w:r w:rsidRPr="00FD1B57">
        <w:t>Definitions-General</w:t>
      </w:r>
    </w:p>
    <w:p w14:paraId="102D22AF" w14:textId="77777777" w:rsidR="00FD43F1" w:rsidRPr="00B96CB9" w:rsidRDefault="00FD43F1" w:rsidP="00FD43F1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96CB9">
        <w:rPr>
          <w:rFonts w:ascii="Times New Roman" w:hAnsi="Times New Roman"/>
          <w:i/>
          <w:sz w:val="24"/>
          <w:szCs w:val="24"/>
        </w:rPr>
        <w:t xml:space="preserve">Government Physician:  </w:t>
      </w:r>
      <w:r w:rsidRPr="00B96CB9">
        <w:rPr>
          <w:rFonts w:ascii="Times New Roman" w:hAnsi="Times New Roman"/>
          <w:sz w:val="24"/>
          <w:szCs w:val="24"/>
        </w:rPr>
        <w:t xml:space="preserve">Section 5948(g)(1) of title 5, United States Code, defines </w:t>
      </w:r>
      <w:r w:rsidR="002A27BD" w:rsidRPr="00B96CB9">
        <w:rPr>
          <w:rFonts w:ascii="Times New Roman" w:hAnsi="Times New Roman"/>
          <w:sz w:val="24"/>
          <w:szCs w:val="24"/>
        </w:rPr>
        <w:t>“</w:t>
      </w:r>
      <w:r w:rsidRPr="00B96CB9">
        <w:rPr>
          <w:rFonts w:ascii="Times New Roman" w:hAnsi="Times New Roman"/>
          <w:sz w:val="24"/>
          <w:szCs w:val="24"/>
        </w:rPr>
        <w:t>Government physician</w:t>
      </w:r>
      <w:r w:rsidR="002A27BD" w:rsidRPr="00B96CB9">
        <w:rPr>
          <w:rFonts w:ascii="Times New Roman" w:hAnsi="Times New Roman"/>
          <w:sz w:val="24"/>
          <w:szCs w:val="24"/>
        </w:rPr>
        <w:t>”</w:t>
      </w:r>
      <w:r w:rsidRPr="00B96CB9">
        <w:rPr>
          <w:rFonts w:ascii="Times New Roman" w:hAnsi="Times New Roman"/>
          <w:sz w:val="24"/>
          <w:szCs w:val="24"/>
        </w:rPr>
        <w:t xml:space="preserve"> as any individual employed as a physician or dentist who is paid under: the General Schedule; the Senior Executive Service; section 5371, relating to certain health care positions; Tennessee Valley Authority Act; Foreign Service Act; Central Intelligence Agency Act; section 1202 of the Panama Canal Act of 1979; section 2 of the National Security Act of May 29, 1959; section 5376 of title 5 relating to certain senior-level positions; section 5377 of title 5 relating to critical positions; or subchapter IX of chapter 53 of title 5 relating to special occupational pay systems.</w:t>
      </w:r>
    </w:p>
    <w:p w14:paraId="2E985909" w14:textId="4F77246D" w:rsidR="00975C30" w:rsidRPr="00B96CB9" w:rsidRDefault="003C6ED9" w:rsidP="00FD1B57">
      <w:pPr>
        <w:pStyle w:val="Heading3"/>
      </w:pPr>
      <w:r w:rsidRPr="00B96CB9">
        <w:t>Definitions-Worksheet Data</w:t>
      </w:r>
    </w:p>
    <w:p w14:paraId="259C705C" w14:textId="77777777" w:rsidR="005F6D6C" w:rsidRPr="00B96CB9" w:rsidRDefault="00975C30" w:rsidP="001B016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96CB9">
        <w:rPr>
          <w:rFonts w:ascii="Times New Roman" w:hAnsi="Times New Roman"/>
          <w:sz w:val="24"/>
          <w:szCs w:val="24"/>
        </w:rPr>
        <w:t xml:space="preserve">1) </w:t>
      </w:r>
      <w:r w:rsidR="00957ED3" w:rsidRPr="00B96CB9">
        <w:rPr>
          <w:rFonts w:ascii="Times New Roman" w:hAnsi="Times New Roman"/>
          <w:i/>
          <w:sz w:val="24"/>
          <w:szCs w:val="24"/>
        </w:rPr>
        <w:t>Number of Physicians</w:t>
      </w:r>
      <w:r w:rsidR="004C608C" w:rsidRPr="00B96CB9">
        <w:rPr>
          <w:rFonts w:ascii="Times New Roman" w:hAnsi="Times New Roman"/>
          <w:i/>
          <w:sz w:val="24"/>
          <w:szCs w:val="24"/>
        </w:rPr>
        <w:t xml:space="preserve"> Receiving PCAs</w:t>
      </w:r>
      <w:r w:rsidR="00845891" w:rsidRPr="00B96CB9">
        <w:rPr>
          <w:rFonts w:ascii="Times New Roman" w:hAnsi="Times New Roman"/>
          <w:sz w:val="24"/>
          <w:szCs w:val="24"/>
        </w:rPr>
        <w:t xml:space="preserve">: </w:t>
      </w:r>
      <w:r w:rsidR="003C6ED9" w:rsidRPr="00B96CB9">
        <w:rPr>
          <w:rFonts w:ascii="Times New Roman" w:hAnsi="Times New Roman"/>
          <w:sz w:val="24"/>
          <w:szCs w:val="24"/>
        </w:rPr>
        <w:t xml:space="preserve">The total number of agency physicians </w:t>
      </w:r>
      <w:r w:rsidR="004C608C" w:rsidRPr="00B96CB9">
        <w:rPr>
          <w:rFonts w:ascii="Times New Roman" w:hAnsi="Times New Roman"/>
          <w:sz w:val="24"/>
          <w:szCs w:val="24"/>
        </w:rPr>
        <w:t>receiving a PCA</w:t>
      </w:r>
      <w:r w:rsidR="00667A34">
        <w:rPr>
          <w:rFonts w:ascii="Times New Roman" w:hAnsi="Times New Roman"/>
          <w:sz w:val="24"/>
          <w:szCs w:val="24"/>
        </w:rPr>
        <w:t xml:space="preserve"> in FY 2020</w:t>
      </w:r>
      <w:r w:rsidR="00D666A3" w:rsidRPr="00B96CB9">
        <w:rPr>
          <w:rFonts w:ascii="Times New Roman" w:hAnsi="Times New Roman"/>
          <w:sz w:val="24"/>
          <w:szCs w:val="24"/>
        </w:rPr>
        <w:t>.</w:t>
      </w:r>
    </w:p>
    <w:p w14:paraId="7D8F34D6" w14:textId="7E055C28" w:rsidR="005F6D6C" w:rsidRPr="00B96CB9" w:rsidRDefault="003C6ED9" w:rsidP="001B016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96CB9">
        <w:rPr>
          <w:rFonts w:ascii="Times New Roman" w:hAnsi="Times New Roman"/>
          <w:sz w:val="24"/>
          <w:szCs w:val="24"/>
        </w:rPr>
        <w:t>2</w:t>
      </w:r>
      <w:r w:rsidR="00A7577B" w:rsidRPr="00B96CB9">
        <w:rPr>
          <w:rFonts w:ascii="Times New Roman" w:hAnsi="Times New Roman"/>
          <w:sz w:val="24"/>
          <w:szCs w:val="24"/>
        </w:rPr>
        <w:t>-3</w:t>
      </w:r>
      <w:r w:rsidRPr="00B96CB9">
        <w:rPr>
          <w:rFonts w:ascii="Times New Roman" w:hAnsi="Times New Roman"/>
          <w:sz w:val="24"/>
          <w:szCs w:val="24"/>
        </w:rPr>
        <w:t xml:space="preserve">) </w:t>
      </w:r>
      <w:r w:rsidRPr="00B96CB9">
        <w:rPr>
          <w:rFonts w:ascii="Times New Roman" w:hAnsi="Times New Roman"/>
          <w:i/>
          <w:sz w:val="24"/>
          <w:szCs w:val="24"/>
        </w:rPr>
        <w:t>Number</w:t>
      </w:r>
      <w:r w:rsidR="00F93690" w:rsidRPr="00B96CB9">
        <w:rPr>
          <w:rFonts w:ascii="Times New Roman" w:hAnsi="Times New Roman"/>
          <w:i/>
          <w:sz w:val="24"/>
          <w:szCs w:val="24"/>
        </w:rPr>
        <w:t xml:space="preserve"> </w:t>
      </w:r>
      <w:r w:rsidRPr="00B96CB9">
        <w:rPr>
          <w:rFonts w:ascii="Times New Roman" w:hAnsi="Times New Roman"/>
          <w:i/>
          <w:sz w:val="24"/>
          <w:szCs w:val="24"/>
        </w:rPr>
        <w:t>of Physicians</w:t>
      </w:r>
      <w:r w:rsidR="00BA71BA" w:rsidRPr="00B96CB9">
        <w:rPr>
          <w:rFonts w:ascii="Times New Roman" w:hAnsi="Times New Roman"/>
          <w:i/>
          <w:sz w:val="24"/>
          <w:szCs w:val="24"/>
        </w:rPr>
        <w:t xml:space="preserve"> with</w:t>
      </w:r>
      <w:r w:rsidRPr="00B96CB9">
        <w:rPr>
          <w:rFonts w:ascii="Times New Roman" w:hAnsi="Times New Roman"/>
          <w:i/>
          <w:sz w:val="24"/>
          <w:szCs w:val="24"/>
        </w:rPr>
        <w:t xml:space="preserve"> 1-Year and Mul</w:t>
      </w:r>
      <w:r w:rsidR="00845891" w:rsidRPr="00B96CB9">
        <w:rPr>
          <w:rFonts w:ascii="Times New Roman" w:hAnsi="Times New Roman"/>
          <w:i/>
          <w:sz w:val="24"/>
          <w:szCs w:val="24"/>
        </w:rPr>
        <w:t>ti-Year PCA Service Agreements</w:t>
      </w:r>
      <w:r w:rsidR="00845891" w:rsidRPr="00B96CB9">
        <w:rPr>
          <w:rFonts w:ascii="Times New Roman" w:hAnsi="Times New Roman"/>
          <w:sz w:val="24"/>
          <w:szCs w:val="24"/>
        </w:rPr>
        <w:t xml:space="preserve">: </w:t>
      </w:r>
      <w:r w:rsidRPr="00B96CB9">
        <w:rPr>
          <w:rFonts w:ascii="Times New Roman" w:hAnsi="Times New Roman"/>
          <w:sz w:val="24"/>
          <w:szCs w:val="24"/>
        </w:rPr>
        <w:t>Under the PCA program, physicians may elect to sign a 1-year or mu</w:t>
      </w:r>
      <w:r w:rsidR="00EB5A83" w:rsidRPr="00B96CB9">
        <w:rPr>
          <w:rFonts w:ascii="Times New Roman" w:hAnsi="Times New Roman"/>
          <w:sz w:val="24"/>
          <w:szCs w:val="24"/>
        </w:rPr>
        <w:t xml:space="preserve">lti-year PCA service agreement. </w:t>
      </w:r>
      <w:r w:rsidR="00845891" w:rsidRPr="00B96CB9">
        <w:rPr>
          <w:rFonts w:ascii="Times New Roman" w:hAnsi="Times New Roman"/>
          <w:sz w:val="24"/>
          <w:szCs w:val="24"/>
        </w:rPr>
        <w:t>Please provide the number of p</w:t>
      </w:r>
      <w:r w:rsidR="00B23B43" w:rsidRPr="00B96CB9">
        <w:rPr>
          <w:rFonts w:ascii="Times New Roman" w:hAnsi="Times New Roman"/>
          <w:sz w:val="24"/>
          <w:szCs w:val="24"/>
        </w:rPr>
        <w:t xml:space="preserve">hysicians under 1-year </w:t>
      </w:r>
      <w:r w:rsidR="00AC2F68" w:rsidRPr="00B96CB9">
        <w:rPr>
          <w:rFonts w:ascii="Times New Roman" w:hAnsi="Times New Roman"/>
          <w:sz w:val="24"/>
          <w:szCs w:val="24"/>
        </w:rPr>
        <w:t>and multi-y</w:t>
      </w:r>
      <w:r w:rsidR="003D798F" w:rsidRPr="00B96CB9">
        <w:rPr>
          <w:rFonts w:ascii="Times New Roman" w:hAnsi="Times New Roman"/>
          <w:sz w:val="24"/>
          <w:szCs w:val="24"/>
        </w:rPr>
        <w:t xml:space="preserve">ear agreements </w:t>
      </w:r>
      <w:r w:rsidR="00667A34">
        <w:rPr>
          <w:rFonts w:ascii="Times New Roman" w:hAnsi="Times New Roman"/>
          <w:sz w:val="24"/>
          <w:szCs w:val="24"/>
        </w:rPr>
        <w:t xml:space="preserve">in FY 2020 </w:t>
      </w:r>
      <w:r w:rsidR="003D798F" w:rsidRPr="00B96CB9">
        <w:rPr>
          <w:rFonts w:ascii="Times New Roman" w:hAnsi="Times New Roman"/>
          <w:sz w:val="24"/>
          <w:szCs w:val="24"/>
        </w:rPr>
        <w:t>in rows 2 and 3</w:t>
      </w:r>
      <w:r w:rsidR="00F93690" w:rsidRPr="00B96CB9">
        <w:rPr>
          <w:rFonts w:ascii="Times New Roman" w:hAnsi="Times New Roman"/>
          <w:sz w:val="24"/>
          <w:szCs w:val="24"/>
        </w:rPr>
        <w:t>.</w:t>
      </w:r>
    </w:p>
    <w:p w14:paraId="79EAF784" w14:textId="675D369F" w:rsidR="005F6D6C" w:rsidRPr="00B96CB9" w:rsidRDefault="00A7577B" w:rsidP="001B016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96CB9">
        <w:rPr>
          <w:rFonts w:ascii="Times New Roman" w:hAnsi="Times New Roman"/>
          <w:sz w:val="24"/>
          <w:szCs w:val="24"/>
        </w:rPr>
        <w:t>4</w:t>
      </w:r>
      <w:r w:rsidR="003C6ED9" w:rsidRPr="00B96CB9">
        <w:rPr>
          <w:rFonts w:ascii="Times New Roman" w:hAnsi="Times New Roman"/>
          <w:sz w:val="24"/>
          <w:szCs w:val="24"/>
        </w:rPr>
        <w:t xml:space="preserve">) </w:t>
      </w:r>
      <w:r w:rsidR="003C6ED9" w:rsidRPr="00B96CB9">
        <w:rPr>
          <w:rFonts w:ascii="Times New Roman" w:hAnsi="Times New Roman"/>
          <w:i/>
          <w:sz w:val="24"/>
          <w:szCs w:val="24"/>
        </w:rPr>
        <w:t xml:space="preserve">Average </w:t>
      </w:r>
      <w:r w:rsidR="003F586B" w:rsidRPr="00B96CB9">
        <w:rPr>
          <w:rFonts w:ascii="Times New Roman" w:hAnsi="Times New Roman"/>
          <w:i/>
          <w:sz w:val="24"/>
          <w:szCs w:val="24"/>
        </w:rPr>
        <w:t xml:space="preserve">Annual </w:t>
      </w:r>
      <w:r w:rsidR="001F05A1" w:rsidRPr="00B96CB9">
        <w:rPr>
          <w:rFonts w:ascii="Times New Roman" w:hAnsi="Times New Roman"/>
          <w:i/>
          <w:sz w:val="24"/>
          <w:szCs w:val="24"/>
        </w:rPr>
        <w:t xml:space="preserve">PCA </w:t>
      </w:r>
      <w:r w:rsidR="003C6ED9" w:rsidRPr="00B96CB9">
        <w:rPr>
          <w:rFonts w:ascii="Times New Roman" w:hAnsi="Times New Roman"/>
          <w:i/>
          <w:sz w:val="24"/>
          <w:szCs w:val="24"/>
        </w:rPr>
        <w:t>Physician</w:t>
      </w:r>
      <w:r w:rsidR="001F05A1" w:rsidRPr="00B96CB9">
        <w:rPr>
          <w:rFonts w:ascii="Times New Roman" w:hAnsi="Times New Roman"/>
          <w:i/>
          <w:sz w:val="24"/>
          <w:szCs w:val="24"/>
        </w:rPr>
        <w:t xml:space="preserve"> Pay </w:t>
      </w:r>
      <w:r w:rsidR="003F586B" w:rsidRPr="00B96CB9">
        <w:rPr>
          <w:rFonts w:ascii="Times New Roman" w:hAnsi="Times New Roman"/>
          <w:i/>
          <w:sz w:val="24"/>
          <w:szCs w:val="24"/>
        </w:rPr>
        <w:t>(</w:t>
      </w:r>
      <w:r w:rsidR="00D666A3" w:rsidRPr="00B96CB9">
        <w:rPr>
          <w:rFonts w:ascii="Times New Roman" w:hAnsi="Times New Roman"/>
          <w:i/>
          <w:sz w:val="24"/>
          <w:szCs w:val="24"/>
        </w:rPr>
        <w:t>w</w:t>
      </w:r>
      <w:r w:rsidR="00C57873" w:rsidRPr="00B96CB9">
        <w:rPr>
          <w:rFonts w:ascii="Times New Roman" w:hAnsi="Times New Roman"/>
          <w:i/>
          <w:sz w:val="24"/>
          <w:szCs w:val="24"/>
        </w:rPr>
        <w:t>ithout</w:t>
      </w:r>
      <w:r w:rsidR="001F05A1" w:rsidRPr="00B96CB9">
        <w:rPr>
          <w:rFonts w:ascii="Times New Roman" w:hAnsi="Times New Roman"/>
          <w:i/>
          <w:sz w:val="24"/>
          <w:szCs w:val="24"/>
        </w:rPr>
        <w:t xml:space="preserve"> PCA </w:t>
      </w:r>
      <w:r w:rsidR="00D666A3" w:rsidRPr="00B96CB9">
        <w:rPr>
          <w:rFonts w:ascii="Times New Roman" w:hAnsi="Times New Roman"/>
          <w:i/>
          <w:sz w:val="24"/>
          <w:szCs w:val="24"/>
        </w:rPr>
        <w:t>p</w:t>
      </w:r>
      <w:r w:rsidR="001F05A1" w:rsidRPr="00B96CB9">
        <w:rPr>
          <w:rFonts w:ascii="Times New Roman" w:hAnsi="Times New Roman"/>
          <w:i/>
          <w:sz w:val="24"/>
          <w:szCs w:val="24"/>
        </w:rPr>
        <w:t>ayment</w:t>
      </w:r>
      <w:r w:rsidR="003F586B" w:rsidRPr="00B96CB9">
        <w:rPr>
          <w:rFonts w:ascii="Times New Roman" w:hAnsi="Times New Roman"/>
          <w:i/>
          <w:sz w:val="24"/>
          <w:szCs w:val="24"/>
        </w:rPr>
        <w:t>)</w:t>
      </w:r>
      <w:r w:rsidR="00845891" w:rsidRPr="00B96CB9">
        <w:rPr>
          <w:rFonts w:ascii="Times New Roman" w:hAnsi="Times New Roman"/>
          <w:sz w:val="24"/>
          <w:szCs w:val="24"/>
        </w:rPr>
        <w:t xml:space="preserve">: </w:t>
      </w:r>
      <w:r w:rsidR="003C6ED9" w:rsidRPr="00B96CB9">
        <w:rPr>
          <w:rFonts w:ascii="Times New Roman" w:hAnsi="Times New Roman"/>
          <w:sz w:val="24"/>
          <w:szCs w:val="24"/>
        </w:rPr>
        <w:t>Average annual compensation per physician</w:t>
      </w:r>
      <w:r w:rsidR="00B2723D" w:rsidRPr="00B96CB9">
        <w:rPr>
          <w:rFonts w:ascii="Times New Roman" w:hAnsi="Times New Roman"/>
          <w:sz w:val="24"/>
          <w:szCs w:val="24"/>
        </w:rPr>
        <w:t xml:space="preserve"> </w:t>
      </w:r>
      <w:r w:rsidR="004C608C" w:rsidRPr="00B96CB9">
        <w:rPr>
          <w:rFonts w:ascii="Times New Roman" w:hAnsi="Times New Roman"/>
          <w:sz w:val="24"/>
          <w:szCs w:val="24"/>
        </w:rPr>
        <w:t>receiving a PCA</w:t>
      </w:r>
      <w:r w:rsidR="00667A34">
        <w:rPr>
          <w:rFonts w:ascii="Times New Roman" w:hAnsi="Times New Roman"/>
          <w:sz w:val="24"/>
          <w:szCs w:val="24"/>
        </w:rPr>
        <w:t xml:space="preserve"> in FY 2020</w:t>
      </w:r>
      <w:r w:rsidR="004C608C" w:rsidRPr="00B96CB9">
        <w:rPr>
          <w:rFonts w:ascii="Times New Roman" w:hAnsi="Times New Roman"/>
          <w:sz w:val="24"/>
          <w:szCs w:val="24"/>
        </w:rPr>
        <w:t xml:space="preserve">. These amounts </w:t>
      </w:r>
      <w:r w:rsidR="003C6ED9" w:rsidRPr="00B96CB9">
        <w:rPr>
          <w:rFonts w:ascii="Times New Roman" w:hAnsi="Times New Roman"/>
          <w:sz w:val="24"/>
          <w:szCs w:val="24"/>
        </w:rPr>
        <w:t>should exclude the PCA payment, but include bas</w:t>
      </w:r>
      <w:r w:rsidR="00153D5F" w:rsidRPr="00B96CB9">
        <w:rPr>
          <w:rFonts w:ascii="Times New Roman" w:hAnsi="Times New Roman"/>
          <w:sz w:val="24"/>
          <w:szCs w:val="24"/>
        </w:rPr>
        <w:t xml:space="preserve">e pay and all other bonuses, </w:t>
      </w:r>
      <w:r w:rsidR="003C6ED9" w:rsidRPr="00B96CB9">
        <w:rPr>
          <w:rFonts w:ascii="Times New Roman" w:hAnsi="Times New Roman"/>
          <w:sz w:val="24"/>
          <w:szCs w:val="24"/>
        </w:rPr>
        <w:t>incentives (such as recruitment, relocation, and ret</w:t>
      </w:r>
      <w:r w:rsidR="00EB5A83" w:rsidRPr="00B96CB9">
        <w:rPr>
          <w:rFonts w:ascii="Times New Roman" w:hAnsi="Times New Roman"/>
          <w:sz w:val="24"/>
          <w:szCs w:val="24"/>
        </w:rPr>
        <w:t>ention incentives) and awards.</w:t>
      </w:r>
    </w:p>
    <w:p w14:paraId="462673DF" w14:textId="20DA0777" w:rsidR="005F6D6C" w:rsidRPr="00B96CB9" w:rsidRDefault="00A7577B" w:rsidP="001B016D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96CB9">
        <w:rPr>
          <w:rFonts w:ascii="Times New Roman" w:hAnsi="Times New Roman"/>
          <w:sz w:val="24"/>
          <w:szCs w:val="24"/>
        </w:rPr>
        <w:t>5</w:t>
      </w:r>
      <w:r w:rsidR="003C6ED9" w:rsidRPr="00B96CB9">
        <w:rPr>
          <w:rFonts w:ascii="Times New Roman" w:hAnsi="Times New Roman"/>
          <w:sz w:val="24"/>
          <w:szCs w:val="24"/>
        </w:rPr>
        <w:t xml:space="preserve">) </w:t>
      </w:r>
      <w:r w:rsidR="003C6ED9" w:rsidRPr="00B96CB9">
        <w:rPr>
          <w:rFonts w:ascii="Times New Roman" w:hAnsi="Times New Roman"/>
          <w:i/>
          <w:sz w:val="24"/>
          <w:szCs w:val="24"/>
        </w:rPr>
        <w:t xml:space="preserve">Average </w:t>
      </w:r>
      <w:r w:rsidR="003F586B" w:rsidRPr="00B96CB9">
        <w:rPr>
          <w:rFonts w:ascii="Times New Roman" w:hAnsi="Times New Roman"/>
          <w:i/>
          <w:sz w:val="24"/>
          <w:szCs w:val="24"/>
        </w:rPr>
        <w:t xml:space="preserve">Annual </w:t>
      </w:r>
      <w:r w:rsidR="003C6ED9" w:rsidRPr="00B96CB9">
        <w:rPr>
          <w:rFonts w:ascii="Times New Roman" w:hAnsi="Times New Roman"/>
          <w:i/>
          <w:sz w:val="24"/>
          <w:szCs w:val="24"/>
        </w:rPr>
        <w:t>P</w:t>
      </w:r>
      <w:r w:rsidR="00DF01B6" w:rsidRPr="00B96CB9">
        <w:rPr>
          <w:rFonts w:ascii="Times New Roman" w:hAnsi="Times New Roman"/>
          <w:i/>
          <w:sz w:val="24"/>
          <w:szCs w:val="24"/>
        </w:rPr>
        <w:t>CA Payment</w:t>
      </w:r>
      <w:r w:rsidR="00845891" w:rsidRPr="00B96CB9">
        <w:rPr>
          <w:rFonts w:ascii="Times New Roman" w:hAnsi="Times New Roman"/>
          <w:sz w:val="24"/>
          <w:szCs w:val="24"/>
        </w:rPr>
        <w:t xml:space="preserve">: </w:t>
      </w:r>
      <w:r w:rsidR="003C6ED9" w:rsidRPr="00B96CB9">
        <w:rPr>
          <w:rFonts w:ascii="Times New Roman" w:hAnsi="Times New Roman"/>
          <w:sz w:val="24"/>
          <w:szCs w:val="24"/>
        </w:rPr>
        <w:t>The averag</w:t>
      </w:r>
      <w:r w:rsidR="001E3D23" w:rsidRPr="00B96CB9">
        <w:rPr>
          <w:rFonts w:ascii="Times New Roman" w:hAnsi="Times New Roman"/>
          <w:sz w:val="24"/>
          <w:szCs w:val="24"/>
        </w:rPr>
        <w:t>e annual PCA paid per physician</w:t>
      </w:r>
      <w:r w:rsidR="00667A34">
        <w:rPr>
          <w:rFonts w:ascii="Times New Roman" w:hAnsi="Times New Roman"/>
          <w:sz w:val="24"/>
          <w:szCs w:val="24"/>
        </w:rPr>
        <w:t xml:space="preserve"> in FY 2020</w:t>
      </w:r>
      <w:r w:rsidR="001E3D23" w:rsidRPr="00B96CB9">
        <w:rPr>
          <w:rFonts w:ascii="Times New Roman" w:hAnsi="Times New Roman"/>
          <w:sz w:val="24"/>
          <w:szCs w:val="24"/>
        </w:rPr>
        <w:t>.</w:t>
      </w:r>
    </w:p>
    <w:p w14:paraId="1BA48D75" w14:textId="4EB214F0" w:rsidR="007F018E" w:rsidRPr="00FD1B57" w:rsidRDefault="001D6214" w:rsidP="00FA00F5">
      <w:pPr>
        <w:spacing w:after="280" w:line="240" w:lineRule="auto"/>
        <w:rPr>
          <w:rFonts w:ascii="Times New Roman" w:hAnsi="Times New Roman"/>
          <w:sz w:val="24"/>
          <w:szCs w:val="24"/>
        </w:rPr>
      </w:pPr>
      <w:r w:rsidRPr="00B96CB9">
        <w:rPr>
          <w:rFonts w:ascii="Times New Roman" w:hAnsi="Times New Roman"/>
          <w:sz w:val="24"/>
          <w:szCs w:val="24"/>
        </w:rPr>
        <w:t>6</w:t>
      </w:r>
      <w:r w:rsidR="003D798F" w:rsidRPr="00B96CB9">
        <w:rPr>
          <w:rFonts w:ascii="Times New Roman" w:hAnsi="Times New Roman"/>
          <w:sz w:val="24"/>
          <w:szCs w:val="24"/>
        </w:rPr>
        <w:t xml:space="preserve">) </w:t>
      </w:r>
      <w:r w:rsidR="003D798F" w:rsidRPr="00B96CB9">
        <w:rPr>
          <w:rFonts w:ascii="Times New Roman" w:hAnsi="Times New Roman"/>
          <w:i/>
          <w:sz w:val="24"/>
          <w:szCs w:val="24"/>
        </w:rPr>
        <w:t xml:space="preserve">Explanation of </w:t>
      </w:r>
      <w:r w:rsidR="003A3781" w:rsidRPr="00B96CB9">
        <w:rPr>
          <w:rFonts w:ascii="Times New Roman" w:hAnsi="Times New Roman"/>
          <w:i/>
          <w:sz w:val="24"/>
          <w:szCs w:val="24"/>
        </w:rPr>
        <w:t>Recruitment</w:t>
      </w:r>
      <w:r w:rsidR="003D798F" w:rsidRPr="00B96CB9">
        <w:rPr>
          <w:rFonts w:ascii="Times New Roman" w:hAnsi="Times New Roman"/>
          <w:i/>
          <w:sz w:val="24"/>
          <w:szCs w:val="24"/>
        </w:rPr>
        <w:t xml:space="preserve"> and </w:t>
      </w:r>
      <w:r w:rsidR="007640DF" w:rsidRPr="00B96CB9">
        <w:rPr>
          <w:rFonts w:ascii="Times New Roman" w:hAnsi="Times New Roman"/>
          <w:i/>
          <w:sz w:val="24"/>
          <w:szCs w:val="24"/>
        </w:rPr>
        <w:t>R</w:t>
      </w:r>
      <w:r w:rsidR="003D798F" w:rsidRPr="00B96CB9">
        <w:rPr>
          <w:rFonts w:ascii="Times New Roman" w:hAnsi="Times New Roman"/>
          <w:i/>
          <w:sz w:val="24"/>
          <w:szCs w:val="24"/>
        </w:rPr>
        <w:t xml:space="preserve">etention </w:t>
      </w:r>
      <w:r w:rsidR="007640DF" w:rsidRPr="00B96CB9">
        <w:rPr>
          <w:rFonts w:ascii="Times New Roman" w:hAnsi="Times New Roman"/>
          <w:i/>
          <w:sz w:val="24"/>
          <w:szCs w:val="24"/>
        </w:rPr>
        <w:t>P</w:t>
      </w:r>
      <w:r w:rsidR="003D798F" w:rsidRPr="00B96CB9">
        <w:rPr>
          <w:rFonts w:ascii="Times New Roman" w:hAnsi="Times New Roman"/>
          <w:i/>
          <w:sz w:val="24"/>
          <w:szCs w:val="24"/>
        </w:rPr>
        <w:t>roblem(s)</w:t>
      </w:r>
      <w:r w:rsidR="003D798F" w:rsidRPr="00B96CB9">
        <w:rPr>
          <w:rFonts w:ascii="Times New Roman" w:hAnsi="Times New Roman"/>
          <w:sz w:val="24"/>
          <w:szCs w:val="24"/>
        </w:rPr>
        <w:t xml:space="preserve">: Factors contributing to </w:t>
      </w:r>
      <w:r w:rsidR="00834326" w:rsidRPr="00B96CB9">
        <w:rPr>
          <w:rFonts w:ascii="Times New Roman" w:hAnsi="Times New Roman"/>
          <w:sz w:val="24"/>
          <w:szCs w:val="24"/>
        </w:rPr>
        <w:t xml:space="preserve">your agency’s physician </w:t>
      </w:r>
      <w:r w:rsidR="003A3781" w:rsidRPr="00B96CB9">
        <w:rPr>
          <w:rFonts w:ascii="Times New Roman" w:hAnsi="Times New Roman"/>
          <w:sz w:val="24"/>
          <w:szCs w:val="24"/>
        </w:rPr>
        <w:t>recruitment</w:t>
      </w:r>
      <w:r w:rsidR="003D798F" w:rsidRPr="00B96CB9">
        <w:rPr>
          <w:rFonts w:ascii="Times New Roman" w:hAnsi="Times New Roman"/>
          <w:sz w:val="24"/>
          <w:szCs w:val="24"/>
        </w:rPr>
        <w:t xml:space="preserve"> and retention problems </w:t>
      </w:r>
      <w:r w:rsidR="00667A34">
        <w:rPr>
          <w:rFonts w:ascii="Times New Roman" w:hAnsi="Times New Roman"/>
          <w:sz w:val="24"/>
          <w:szCs w:val="24"/>
        </w:rPr>
        <w:t xml:space="preserve">in FY 2020 </w:t>
      </w:r>
      <w:r w:rsidR="003D798F" w:rsidRPr="00B96CB9">
        <w:rPr>
          <w:rFonts w:ascii="Times New Roman" w:hAnsi="Times New Roman"/>
          <w:sz w:val="24"/>
          <w:szCs w:val="24"/>
        </w:rPr>
        <w:t xml:space="preserve">should be provided. </w:t>
      </w:r>
      <w:r w:rsidR="007F018E" w:rsidRPr="00B96CB9">
        <w:rPr>
          <w:rFonts w:ascii="Times New Roman" w:hAnsi="Times New Roman"/>
          <w:sz w:val="24"/>
          <w:szCs w:val="24"/>
        </w:rPr>
        <w:t xml:space="preserve">The explanation </w:t>
      </w:r>
      <w:r w:rsidR="00667A34">
        <w:rPr>
          <w:rFonts w:ascii="Times New Roman" w:hAnsi="Times New Roman"/>
          <w:sz w:val="24"/>
          <w:szCs w:val="24"/>
        </w:rPr>
        <w:t>may</w:t>
      </w:r>
      <w:r w:rsidR="00667A34" w:rsidRPr="00B96CB9">
        <w:rPr>
          <w:rFonts w:ascii="Times New Roman" w:hAnsi="Times New Roman"/>
          <w:sz w:val="24"/>
          <w:szCs w:val="24"/>
        </w:rPr>
        <w:t xml:space="preserve"> </w:t>
      </w:r>
      <w:r w:rsidR="00CC563F" w:rsidRPr="00B96CB9">
        <w:rPr>
          <w:rFonts w:ascii="Times New Roman" w:hAnsi="Times New Roman"/>
          <w:sz w:val="24"/>
          <w:szCs w:val="24"/>
        </w:rPr>
        <w:t xml:space="preserve">include </w:t>
      </w:r>
      <w:r w:rsidR="007F018E" w:rsidRPr="00B96CB9">
        <w:rPr>
          <w:rFonts w:ascii="Times New Roman" w:hAnsi="Times New Roman"/>
          <w:sz w:val="24"/>
          <w:szCs w:val="24"/>
        </w:rPr>
        <w:t>staffing data, such as accessions, separations and number and duration of unfilled positions</w:t>
      </w:r>
      <w:r w:rsidR="00CC563F" w:rsidRPr="00B96CB9">
        <w:rPr>
          <w:rFonts w:ascii="Times New Roman" w:hAnsi="Times New Roman"/>
          <w:sz w:val="24"/>
          <w:szCs w:val="24"/>
        </w:rPr>
        <w:t>, as support</w:t>
      </w:r>
      <w:r w:rsidR="007F018E" w:rsidRPr="00B96CB9">
        <w:rPr>
          <w:rFonts w:ascii="Times New Roman" w:hAnsi="Times New Roman"/>
          <w:sz w:val="24"/>
          <w:szCs w:val="24"/>
        </w:rPr>
        <w:t>.</w:t>
      </w:r>
    </w:p>
    <w:p w14:paraId="12D38BE9" w14:textId="7E7DC09E" w:rsidR="004D632D" w:rsidRPr="00B96CB9" w:rsidRDefault="001D6214" w:rsidP="008A6C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CB9">
        <w:rPr>
          <w:rFonts w:ascii="Times New Roman" w:hAnsi="Times New Roman"/>
          <w:sz w:val="24"/>
          <w:szCs w:val="24"/>
        </w:rPr>
        <w:t>7</w:t>
      </w:r>
      <w:r w:rsidR="003D798F" w:rsidRPr="00B96CB9">
        <w:rPr>
          <w:rFonts w:ascii="Times New Roman" w:hAnsi="Times New Roman"/>
          <w:sz w:val="24"/>
          <w:szCs w:val="24"/>
        </w:rPr>
        <w:t xml:space="preserve">) </w:t>
      </w:r>
      <w:r w:rsidR="003D798F" w:rsidRPr="00B96CB9">
        <w:rPr>
          <w:rFonts w:ascii="Times New Roman" w:hAnsi="Times New Roman"/>
          <w:i/>
          <w:sz w:val="24"/>
          <w:szCs w:val="24"/>
        </w:rPr>
        <w:t xml:space="preserve">Explanation of the </w:t>
      </w:r>
      <w:r w:rsidR="007640DF" w:rsidRPr="00B96CB9">
        <w:rPr>
          <w:rFonts w:ascii="Times New Roman" w:hAnsi="Times New Roman"/>
          <w:i/>
          <w:sz w:val="24"/>
          <w:szCs w:val="24"/>
        </w:rPr>
        <w:t>D</w:t>
      </w:r>
      <w:r w:rsidR="003D798F" w:rsidRPr="00B96CB9">
        <w:rPr>
          <w:rFonts w:ascii="Times New Roman" w:hAnsi="Times New Roman"/>
          <w:i/>
          <w:sz w:val="24"/>
          <w:szCs w:val="24"/>
        </w:rPr>
        <w:t xml:space="preserve">egree PCA </w:t>
      </w:r>
      <w:r w:rsidR="007640DF" w:rsidRPr="00B96CB9">
        <w:rPr>
          <w:rFonts w:ascii="Times New Roman" w:hAnsi="Times New Roman"/>
          <w:i/>
          <w:sz w:val="24"/>
          <w:szCs w:val="24"/>
        </w:rPr>
        <w:t>A</w:t>
      </w:r>
      <w:r w:rsidR="003D798F" w:rsidRPr="00B96CB9">
        <w:rPr>
          <w:rFonts w:ascii="Times New Roman" w:hAnsi="Times New Roman"/>
          <w:i/>
          <w:sz w:val="24"/>
          <w:szCs w:val="24"/>
        </w:rPr>
        <w:t>lleviate</w:t>
      </w:r>
      <w:r w:rsidR="00667A34">
        <w:rPr>
          <w:rFonts w:ascii="Times New Roman" w:hAnsi="Times New Roman"/>
          <w:i/>
          <w:sz w:val="24"/>
          <w:szCs w:val="24"/>
        </w:rPr>
        <w:t>d</w:t>
      </w:r>
      <w:r w:rsidR="003D798F" w:rsidRPr="00B96CB9">
        <w:rPr>
          <w:rFonts w:ascii="Times New Roman" w:hAnsi="Times New Roman"/>
          <w:i/>
          <w:sz w:val="24"/>
          <w:szCs w:val="24"/>
        </w:rPr>
        <w:t xml:space="preserve"> </w:t>
      </w:r>
      <w:r w:rsidR="003A3781" w:rsidRPr="00B96CB9">
        <w:rPr>
          <w:rFonts w:ascii="Times New Roman" w:hAnsi="Times New Roman"/>
          <w:i/>
          <w:sz w:val="24"/>
          <w:szCs w:val="24"/>
        </w:rPr>
        <w:t xml:space="preserve">Recruitment and </w:t>
      </w:r>
      <w:r w:rsidR="007640DF" w:rsidRPr="00B96CB9">
        <w:rPr>
          <w:rFonts w:ascii="Times New Roman" w:hAnsi="Times New Roman"/>
          <w:i/>
          <w:sz w:val="24"/>
          <w:szCs w:val="24"/>
        </w:rPr>
        <w:t>R</w:t>
      </w:r>
      <w:r w:rsidR="003D798F" w:rsidRPr="00B96CB9">
        <w:rPr>
          <w:rFonts w:ascii="Times New Roman" w:hAnsi="Times New Roman"/>
          <w:i/>
          <w:sz w:val="24"/>
          <w:szCs w:val="24"/>
        </w:rPr>
        <w:t>etention</w:t>
      </w:r>
      <w:r w:rsidR="007640DF" w:rsidRPr="00B96CB9">
        <w:rPr>
          <w:rFonts w:ascii="Times New Roman" w:hAnsi="Times New Roman"/>
          <w:i/>
          <w:sz w:val="24"/>
          <w:szCs w:val="24"/>
        </w:rPr>
        <w:t xml:space="preserve"> Problem(s)</w:t>
      </w:r>
      <w:r w:rsidR="00A7577B" w:rsidRPr="00B96CB9">
        <w:rPr>
          <w:rFonts w:ascii="Times New Roman" w:hAnsi="Times New Roman"/>
          <w:sz w:val="24"/>
          <w:szCs w:val="24"/>
        </w:rPr>
        <w:t>: Provide an</w:t>
      </w:r>
      <w:r w:rsidR="003D798F" w:rsidRPr="00B96CB9">
        <w:rPr>
          <w:rFonts w:ascii="Times New Roman" w:hAnsi="Times New Roman"/>
          <w:sz w:val="24"/>
          <w:szCs w:val="24"/>
        </w:rPr>
        <w:t xml:space="preserve"> explanation of the extent that </w:t>
      </w:r>
      <w:r w:rsidR="00EA0EE4" w:rsidRPr="00B96CB9">
        <w:rPr>
          <w:rFonts w:ascii="Times New Roman" w:hAnsi="Times New Roman"/>
          <w:sz w:val="24"/>
          <w:szCs w:val="24"/>
        </w:rPr>
        <w:t>providing</w:t>
      </w:r>
      <w:r w:rsidR="007640DF" w:rsidRPr="00B96CB9">
        <w:rPr>
          <w:rFonts w:ascii="Times New Roman" w:hAnsi="Times New Roman"/>
          <w:sz w:val="24"/>
          <w:szCs w:val="24"/>
        </w:rPr>
        <w:t xml:space="preserve"> </w:t>
      </w:r>
      <w:r w:rsidR="003D798F" w:rsidRPr="00B96CB9">
        <w:rPr>
          <w:rFonts w:ascii="Times New Roman" w:hAnsi="Times New Roman"/>
          <w:sz w:val="24"/>
          <w:szCs w:val="24"/>
        </w:rPr>
        <w:t>PCA</w:t>
      </w:r>
      <w:r w:rsidR="00EA0EE4" w:rsidRPr="00B96CB9">
        <w:rPr>
          <w:rFonts w:ascii="Times New Roman" w:hAnsi="Times New Roman"/>
          <w:sz w:val="24"/>
          <w:szCs w:val="24"/>
        </w:rPr>
        <w:t>s</w:t>
      </w:r>
      <w:r w:rsidR="003D798F" w:rsidRPr="00B96CB9">
        <w:rPr>
          <w:rFonts w:ascii="Times New Roman" w:hAnsi="Times New Roman"/>
          <w:sz w:val="24"/>
          <w:szCs w:val="24"/>
        </w:rPr>
        <w:t xml:space="preserve"> p</w:t>
      </w:r>
      <w:r w:rsidR="00153D5F" w:rsidRPr="00B96CB9">
        <w:rPr>
          <w:rFonts w:ascii="Times New Roman" w:hAnsi="Times New Roman"/>
          <w:sz w:val="24"/>
          <w:szCs w:val="24"/>
        </w:rPr>
        <w:t>revented or lessened recruitment</w:t>
      </w:r>
      <w:r w:rsidR="003D798F" w:rsidRPr="00B96CB9">
        <w:rPr>
          <w:rFonts w:ascii="Times New Roman" w:hAnsi="Times New Roman"/>
          <w:sz w:val="24"/>
          <w:szCs w:val="24"/>
        </w:rPr>
        <w:t xml:space="preserve"> and reten</w:t>
      </w:r>
      <w:r w:rsidR="00A7577B" w:rsidRPr="00B96CB9">
        <w:rPr>
          <w:rFonts w:ascii="Times New Roman" w:hAnsi="Times New Roman"/>
          <w:sz w:val="24"/>
          <w:szCs w:val="24"/>
        </w:rPr>
        <w:t>tion problems</w:t>
      </w:r>
      <w:r w:rsidR="00667A34">
        <w:rPr>
          <w:rFonts w:ascii="Times New Roman" w:hAnsi="Times New Roman"/>
          <w:sz w:val="24"/>
          <w:szCs w:val="24"/>
        </w:rPr>
        <w:t xml:space="preserve"> in FY 2020</w:t>
      </w:r>
      <w:r w:rsidR="003D798F" w:rsidRPr="00B96CB9">
        <w:rPr>
          <w:rFonts w:ascii="Times New Roman" w:hAnsi="Times New Roman"/>
          <w:sz w:val="24"/>
          <w:szCs w:val="24"/>
        </w:rPr>
        <w:t>.</w:t>
      </w:r>
      <w:r w:rsidR="007640DF" w:rsidRPr="00B96CB9">
        <w:rPr>
          <w:rFonts w:ascii="Times New Roman" w:hAnsi="Times New Roman"/>
          <w:sz w:val="24"/>
          <w:szCs w:val="24"/>
        </w:rPr>
        <w:t xml:space="preserve"> T</w:t>
      </w:r>
      <w:r w:rsidR="003D798F" w:rsidRPr="00B96CB9">
        <w:rPr>
          <w:rFonts w:ascii="Times New Roman" w:hAnsi="Times New Roman"/>
          <w:sz w:val="24"/>
          <w:szCs w:val="24"/>
        </w:rPr>
        <w:t xml:space="preserve">he explanation </w:t>
      </w:r>
      <w:r w:rsidR="00667A34">
        <w:rPr>
          <w:rFonts w:ascii="Times New Roman" w:hAnsi="Times New Roman"/>
          <w:sz w:val="24"/>
          <w:szCs w:val="24"/>
        </w:rPr>
        <w:t>may</w:t>
      </w:r>
      <w:r w:rsidR="00667A34" w:rsidRPr="00B96CB9">
        <w:rPr>
          <w:rFonts w:ascii="Times New Roman" w:hAnsi="Times New Roman"/>
          <w:sz w:val="24"/>
          <w:szCs w:val="24"/>
        </w:rPr>
        <w:t xml:space="preserve"> </w:t>
      </w:r>
      <w:r w:rsidR="00CC563F" w:rsidRPr="00B96CB9">
        <w:rPr>
          <w:rFonts w:ascii="Times New Roman" w:hAnsi="Times New Roman"/>
          <w:sz w:val="24"/>
          <w:szCs w:val="24"/>
        </w:rPr>
        <w:t xml:space="preserve">include </w:t>
      </w:r>
      <w:r w:rsidR="009400C3" w:rsidRPr="00B96CB9">
        <w:rPr>
          <w:rFonts w:ascii="Times New Roman" w:hAnsi="Times New Roman"/>
          <w:sz w:val="24"/>
          <w:szCs w:val="24"/>
        </w:rPr>
        <w:t xml:space="preserve">staffing </w:t>
      </w:r>
      <w:r w:rsidR="003D798F" w:rsidRPr="00B96CB9">
        <w:rPr>
          <w:rFonts w:ascii="Times New Roman" w:hAnsi="Times New Roman"/>
          <w:sz w:val="24"/>
          <w:szCs w:val="24"/>
        </w:rPr>
        <w:t>data</w:t>
      </w:r>
      <w:r w:rsidR="007F018E" w:rsidRPr="00B96CB9">
        <w:rPr>
          <w:rFonts w:ascii="Times New Roman" w:hAnsi="Times New Roman"/>
          <w:sz w:val="24"/>
          <w:szCs w:val="24"/>
        </w:rPr>
        <w:t>, such as accessions, separations and number and duration of unfilled positions</w:t>
      </w:r>
      <w:r w:rsidR="00CC563F" w:rsidRPr="00B96CB9">
        <w:rPr>
          <w:rFonts w:ascii="Times New Roman" w:hAnsi="Times New Roman"/>
          <w:sz w:val="24"/>
          <w:szCs w:val="24"/>
        </w:rPr>
        <w:t>, as support</w:t>
      </w:r>
      <w:r w:rsidR="00043F3A" w:rsidRPr="00B96CB9">
        <w:rPr>
          <w:rFonts w:ascii="Times New Roman" w:hAnsi="Times New Roman"/>
          <w:sz w:val="24"/>
          <w:szCs w:val="24"/>
        </w:rPr>
        <w:t>.</w:t>
      </w:r>
    </w:p>
    <w:sectPr w:rsidR="004D632D" w:rsidRPr="00B96CB9" w:rsidSect="004749C5">
      <w:footerReference w:type="default" r:id="rId9"/>
      <w:pgSz w:w="12240" w:h="15840"/>
      <w:pgMar w:top="1152" w:right="1440" w:bottom="108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1406" w14:textId="77777777" w:rsidR="0017737F" w:rsidRDefault="0017737F" w:rsidP="003C6ED9">
      <w:pPr>
        <w:spacing w:after="0" w:line="240" w:lineRule="auto"/>
      </w:pPr>
      <w:r>
        <w:separator/>
      </w:r>
    </w:p>
  </w:endnote>
  <w:endnote w:type="continuationSeparator" w:id="0">
    <w:p w14:paraId="5F08CC6A" w14:textId="77777777" w:rsidR="0017737F" w:rsidRDefault="0017737F" w:rsidP="003C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00503040000020004"/>
    <w:charset w:val="00"/>
    <w:family w:val="swiss"/>
    <w:pitch w:val="variable"/>
    <w:sig w:usb0="A0002AA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EAAB" w14:textId="77777777" w:rsidR="00306C91" w:rsidRDefault="00306C91">
    <w:pPr>
      <w:pStyle w:val="Footer"/>
      <w:jc w:val="right"/>
    </w:pPr>
    <w:r w:rsidRPr="00B84473">
      <w:rPr>
        <w:rFonts w:ascii="Helvetica" w:hAnsi="Helvetica"/>
        <w:sz w:val="20"/>
        <w:szCs w:val="20"/>
      </w:rPr>
      <w:fldChar w:fldCharType="begin"/>
    </w:r>
    <w:r w:rsidRPr="00B84473">
      <w:rPr>
        <w:rFonts w:ascii="Helvetica" w:hAnsi="Helvetica"/>
        <w:sz w:val="20"/>
        <w:szCs w:val="20"/>
      </w:rPr>
      <w:instrText xml:space="preserve"> PAGE   \* MERGEFORMAT </w:instrText>
    </w:r>
    <w:r w:rsidRPr="00B84473">
      <w:rPr>
        <w:rFonts w:ascii="Helvetica" w:hAnsi="Helvetica"/>
        <w:sz w:val="20"/>
        <w:szCs w:val="20"/>
      </w:rPr>
      <w:fldChar w:fldCharType="separate"/>
    </w:r>
    <w:r w:rsidR="00195284">
      <w:rPr>
        <w:rFonts w:ascii="Helvetica" w:hAnsi="Helvetica"/>
        <w:noProof/>
        <w:sz w:val="20"/>
        <w:szCs w:val="20"/>
      </w:rPr>
      <w:t>2</w:t>
    </w:r>
    <w:r w:rsidRPr="00B84473">
      <w:rPr>
        <w:rFonts w:ascii="Helvetica" w:hAnsi="Helvetica"/>
        <w:sz w:val="20"/>
        <w:szCs w:val="20"/>
      </w:rPr>
      <w:fldChar w:fldCharType="end"/>
    </w:r>
  </w:p>
  <w:p w14:paraId="0BC75FCA" w14:textId="77777777" w:rsidR="00306C91" w:rsidRDefault="00306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477E" w14:textId="77777777" w:rsidR="0017737F" w:rsidRDefault="0017737F" w:rsidP="003C6ED9">
      <w:pPr>
        <w:spacing w:after="0" w:line="240" w:lineRule="auto"/>
      </w:pPr>
      <w:r>
        <w:separator/>
      </w:r>
    </w:p>
  </w:footnote>
  <w:footnote w:type="continuationSeparator" w:id="0">
    <w:p w14:paraId="24293B88" w14:textId="77777777" w:rsidR="0017737F" w:rsidRDefault="0017737F" w:rsidP="003C6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60A3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54BA2"/>
    <w:multiLevelType w:val="hybridMultilevel"/>
    <w:tmpl w:val="DF7E988A"/>
    <w:lvl w:ilvl="0" w:tplc="0409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97770"/>
    <w:multiLevelType w:val="hybridMultilevel"/>
    <w:tmpl w:val="486A8C92"/>
    <w:lvl w:ilvl="0" w:tplc="4704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1F17"/>
    <w:multiLevelType w:val="hybridMultilevel"/>
    <w:tmpl w:val="95B0E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0E93"/>
    <w:multiLevelType w:val="hybridMultilevel"/>
    <w:tmpl w:val="9680189E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E63B2"/>
    <w:multiLevelType w:val="hybridMultilevel"/>
    <w:tmpl w:val="5F2CB3EE"/>
    <w:lvl w:ilvl="0" w:tplc="5172E58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C5FD4"/>
    <w:multiLevelType w:val="hybridMultilevel"/>
    <w:tmpl w:val="B314ABBC"/>
    <w:lvl w:ilvl="0" w:tplc="3904C40C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02F1F"/>
    <w:multiLevelType w:val="hybridMultilevel"/>
    <w:tmpl w:val="4D5E85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80411E3"/>
    <w:multiLevelType w:val="hybridMultilevel"/>
    <w:tmpl w:val="3EF8F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9F2CA9"/>
    <w:multiLevelType w:val="multilevel"/>
    <w:tmpl w:val="A7027E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80D98"/>
    <w:multiLevelType w:val="hybridMultilevel"/>
    <w:tmpl w:val="4B1AB6DA"/>
    <w:lvl w:ilvl="0" w:tplc="29B4400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17A34"/>
    <w:multiLevelType w:val="hybridMultilevel"/>
    <w:tmpl w:val="753AA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22DE7"/>
    <w:multiLevelType w:val="hybridMultilevel"/>
    <w:tmpl w:val="675CBE78"/>
    <w:lvl w:ilvl="0" w:tplc="5F06D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D38F1"/>
    <w:multiLevelType w:val="hybridMultilevel"/>
    <w:tmpl w:val="486A8C92"/>
    <w:lvl w:ilvl="0" w:tplc="4704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1418C"/>
    <w:multiLevelType w:val="hybridMultilevel"/>
    <w:tmpl w:val="753AA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60FC5"/>
    <w:multiLevelType w:val="hybridMultilevel"/>
    <w:tmpl w:val="1D023FC4"/>
    <w:lvl w:ilvl="0" w:tplc="244E3E2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8325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205070">
    <w:abstractNumId w:val="3"/>
  </w:num>
  <w:num w:numId="3" w16cid:durableId="132257852">
    <w:abstractNumId w:val="0"/>
  </w:num>
  <w:num w:numId="4" w16cid:durableId="1510484594">
    <w:abstractNumId w:val="13"/>
  </w:num>
  <w:num w:numId="5" w16cid:durableId="262807723">
    <w:abstractNumId w:val="12"/>
  </w:num>
  <w:num w:numId="6" w16cid:durableId="1725449478">
    <w:abstractNumId w:val="5"/>
  </w:num>
  <w:num w:numId="7" w16cid:durableId="915089341">
    <w:abstractNumId w:val="11"/>
  </w:num>
  <w:num w:numId="8" w16cid:durableId="869533555">
    <w:abstractNumId w:val="8"/>
  </w:num>
  <w:num w:numId="9" w16cid:durableId="1751609795">
    <w:abstractNumId w:val="7"/>
  </w:num>
  <w:num w:numId="10" w16cid:durableId="108594882">
    <w:abstractNumId w:val="14"/>
  </w:num>
  <w:num w:numId="11" w16cid:durableId="2139444120">
    <w:abstractNumId w:val="9"/>
  </w:num>
  <w:num w:numId="12" w16cid:durableId="1218669664">
    <w:abstractNumId w:val="15"/>
  </w:num>
  <w:num w:numId="13" w16cid:durableId="1977223046">
    <w:abstractNumId w:val="2"/>
  </w:num>
  <w:num w:numId="14" w16cid:durableId="1453207770">
    <w:abstractNumId w:val="4"/>
  </w:num>
  <w:num w:numId="15" w16cid:durableId="1762414699">
    <w:abstractNumId w:val="1"/>
  </w:num>
  <w:num w:numId="16" w16cid:durableId="1665232275">
    <w:abstractNumId w:val="6"/>
  </w:num>
  <w:num w:numId="17" w16cid:durableId="1445688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8E"/>
    <w:rsid w:val="00002F4C"/>
    <w:rsid w:val="0000608E"/>
    <w:rsid w:val="000140E7"/>
    <w:rsid w:val="00015B59"/>
    <w:rsid w:val="00043F3A"/>
    <w:rsid w:val="00050FBD"/>
    <w:rsid w:val="00054F9C"/>
    <w:rsid w:val="000577D6"/>
    <w:rsid w:val="00061AEA"/>
    <w:rsid w:val="000655DF"/>
    <w:rsid w:val="00085325"/>
    <w:rsid w:val="0008597D"/>
    <w:rsid w:val="000921C7"/>
    <w:rsid w:val="0009497F"/>
    <w:rsid w:val="00096E5E"/>
    <w:rsid w:val="000970BE"/>
    <w:rsid w:val="000A7316"/>
    <w:rsid w:val="000B57C4"/>
    <w:rsid w:val="000C2936"/>
    <w:rsid w:val="000C630B"/>
    <w:rsid w:val="000D28DE"/>
    <w:rsid w:val="000E5AAE"/>
    <w:rsid w:val="000F49C5"/>
    <w:rsid w:val="000F59D5"/>
    <w:rsid w:val="000F7B31"/>
    <w:rsid w:val="0010020C"/>
    <w:rsid w:val="00101993"/>
    <w:rsid w:val="00103E59"/>
    <w:rsid w:val="001127C4"/>
    <w:rsid w:val="00115849"/>
    <w:rsid w:val="00122784"/>
    <w:rsid w:val="00123ECA"/>
    <w:rsid w:val="001249E5"/>
    <w:rsid w:val="001306AC"/>
    <w:rsid w:val="001311A2"/>
    <w:rsid w:val="0014697E"/>
    <w:rsid w:val="00147C36"/>
    <w:rsid w:val="00153D5F"/>
    <w:rsid w:val="00162CD1"/>
    <w:rsid w:val="00167395"/>
    <w:rsid w:val="0017256F"/>
    <w:rsid w:val="00172ADB"/>
    <w:rsid w:val="0017737F"/>
    <w:rsid w:val="0018542B"/>
    <w:rsid w:val="00195284"/>
    <w:rsid w:val="001A2B49"/>
    <w:rsid w:val="001A5E3B"/>
    <w:rsid w:val="001B016D"/>
    <w:rsid w:val="001C0DA1"/>
    <w:rsid w:val="001C4535"/>
    <w:rsid w:val="001C6E8C"/>
    <w:rsid w:val="001C76AE"/>
    <w:rsid w:val="001D6214"/>
    <w:rsid w:val="001E3D23"/>
    <w:rsid w:val="001E5034"/>
    <w:rsid w:val="001F0593"/>
    <w:rsid w:val="001F05A1"/>
    <w:rsid w:val="00201C3E"/>
    <w:rsid w:val="002158A8"/>
    <w:rsid w:val="00222A9B"/>
    <w:rsid w:val="00225F45"/>
    <w:rsid w:val="00234846"/>
    <w:rsid w:val="00246C93"/>
    <w:rsid w:val="00246D6A"/>
    <w:rsid w:val="00250208"/>
    <w:rsid w:val="0025130A"/>
    <w:rsid w:val="002537BF"/>
    <w:rsid w:val="00270AF9"/>
    <w:rsid w:val="002712A7"/>
    <w:rsid w:val="00272866"/>
    <w:rsid w:val="002737CE"/>
    <w:rsid w:val="0027387E"/>
    <w:rsid w:val="002771E5"/>
    <w:rsid w:val="00281300"/>
    <w:rsid w:val="00287F00"/>
    <w:rsid w:val="00290107"/>
    <w:rsid w:val="00293752"/>
    <w:rsid w:val="002959FD"/>
    <w:rsid w:val="00296296"/>
    <w:rsid w:val="00296CA1"/>
    <w:rsid w:val="002A27BD"/>
    <w:rsid w:val="002A5C4F"/>
    <w:rsid w:val="002B0D3F"/>
    <w:rsid w:val="002B1D13"/>
    <w:rsid w:val="002B4EE5"/>
    <w:rsid w:val="002B62A8"/>
    <w:rsid w:val="002C4989"/>
    <w:rsid w:val="002C6375"/>
    <w:rsid w:val="002D1C37"/>
    <w:rsid w:val="002D7B66"/>
    <w:rsid w:val="002F57ED"/>
    <w:rsid w:val="003005D3"/>
    <w:rsid w:val="00303B29"/>
    <w:rsid w:val="00306BE0"/>
    <w:rsid w:val="00306C91"/>
    <w:rsid w:val="0032324B"/>
    <w:rsid w:val="00323F43"/>
    <w:rsid w:val="00326F76"/>
    <w:rsid w:val="003335B0"/>
    <w:rsid w:val="0034505B"/>
    <w:rsid w:val="00347083"/>
    <w:rsid w:val="00351A8F"/>
    <w:rsid w:val="003537B8"/>
    <w:rsid w:val="00354616"/>
    <w:rsid w:val="00360EC9"/>
    <w:rsid w:val="003612C8"/>
    <w:rsid w:val="00362D4A"/>
    <w:rsid w:val="0036397A"/>
    <w:rsid w:val="00371C4A"/>
    <w:rsid w:val="0037605A"/>
    <w:rsid w:val="0037770B"/>
    <w:rsid w:val="003815C0"/>
    <w:rsid w:val="003908E5"/>
    <w:rsid w:val="00397529"/>
    <w:rsid w:val="003A2E66"/>
    <w:rsid w:val="003A2EA0"/>
    <w:rsid w:val="003A3781"/>
    <w:rsid w:val="003B5623"/>
    <w:rsid w:val="003B6519"/>
    <w:rsid w:val="003C26DC"/>
    <w:rsid w:val="003C6E3F"/>
    <w:rsid w:val="003C6ED9"/>
    <w:rsid w:val="003D03B2"/>
    <w:rsid w:val="003D39F5"/>
    <w:rsid w:val="003D4EDE"/>
    <w:rsid w:val="003D798F"/>
    <w:rsid w:val="003E37E1"/>
    <w:rsid w:val="003E7F5C"/>
    <w:rsid w:val="003F586B"/>
    <w:rsid w:val="003F663C"/>
    <w:rsid w:val="003F7E73"/>
    <w:rsid w:val="00400F04"/>
    <w:rsid w:val="004013E8"/>
    <w:rsid w:val="00401783"/>
    <w:rsid w:val="00407CD2"/>
    <w:rsid w:val="0041090D"/>
    <w:rsid w:val="00411D84"/>
    <w:rsid w:val="00412626"/>
    <w:rsid w:val="00416073"/>
    <w:rsid w:val="00416B77"/>
    <w:rsid w:val="00433E63"/>
    <w:rsid w:val="0043482C"/>
    <w:rsid w:val="00441372"/>
    <w:rsid w:val="004432C6"/>
    <w:rsid w:val="004527BD"/>
    <w:rsid w:val="004603BD"/>
    <w:rsid w:val="00463F64"/>
    <w:rsid w:val="00473C03"/>
    <w:rsid w:val="004749C5"/>
    <w:rsid w:val="00493054"/>
    <w:rsid w:val="004A24D6"/>
    <w:rsid w:val="004A32F0"/>
    <w:rsid w:val="004B2AA2"/>
    <w:rsid w:val="004B3DF2"/>
    <w:rsid w:val="004C0DBE"/>
    <w:rsid w:val="004C608C"/>
    <w:rsid w:val="004C6140"/>
    <w:rsid w:val="004D095E"/>
    <w:rsid w:val="004D3CFF"/>
    <w:rsid w:val="004D632D"/>
    <w:rsid w:val="004D7346"/>
    <w:rsid w:val="004F04C7"/>
    <w:rsid w:val="004F13EA"/>
    <w:rsid w:val="004F23A5"/>
    <w:rsid w:val="00511DF5"/>
    <w:rsid w:val="005126C3"/>
    <w:rsid w:val="00513C33"/>
    <w:rsid w:val="00515EA1"/>
    <w:rsid w:val="00516570"/>
    <w:rsid w:val="005253B6"/>
    <w:rsid w:val="005256C9"/>
    <w:rsid w:val="00527742"/>
    <w:rsid w:val="00530E43"/>
    <w:rsid w:val="005349AE"/>
    <w:rsid w:val="00542EA1"/>
    <w:rsid w:val="005434B5"/>
    <w:rsid w:val="0054464D"/>
    <w:rsid w:val="00546C64"/>
    <w:rsid w:val="00551109"/>
    <w:rsid w:val="005535EA"/>
    <w:rsid w:val="0055369A"/>
    <w:rsid w:val="0055434B"/>
    <w:rsid w:val="0055546F"/>
    <w:rsid w:val="005554AF"/>
    <w:rsid w:val="005611A4"/>
    <w:rsid w:val="00561751"/>
    <w:rsid w:val="005634A5"/>
    <w:rsid w:val="00563F8E"/>
    <w:rsid w:val="0057241B"/>
    <w:rsid w:val="00577BC2"/>
    <w:rsid w:val="00584439"/>
    <w:rsid w:val="00590939"/>
    <w:rsid w:val="0059402F"/>
    <w:rsid w:val="00594BC2"/>
    <w:rsid w:val="005956E6"/>
    <w:rsid w:val="005A33AD"/>
    <w:rsid w:val="005C255F"/>
    <w:rsid w:val="005C6169"/>
    <w:rsid w:val="005D3E06"/>
    <w:rsid w:val="005D6E94"/>
    <w:rsid w:val="005D74CB"/>
    <w:rsid w:val="005E2EB6"/>
    <w:rsid w:val="005E49FF"/>
    <w:rsid w:val="005E5BC0"/>
    <w:rsid w:val="005E72E4"/>
    <w:rsid w:val="005F0585"/>
    <w:rsid w:val="005F2D56"/>
    <w:rsid w:val="005F6D6C"/>
    <w:rsid w:val="00601D8D"/>
    <w:rsid w:val="006030F7"/>
    <w:rsid w:val="006076DA"/>
    <w:rsid w:val="00613FEC"/>
    <w:rsid w:val="006150EE"/>
    <w:rsid w:val="00616F4E"/>
    <w:rsid w:val="006208D2"/>
    <w:rsid w:val="0062584E"/>
    <w:rsid w:val="006334DB"/>
    <w:rsid w:val="006424A8"/>
    <w:rsid w:val="00646F04"/>
    <w:rsid w:val="00650AFA"/>
    <w:rsid w:val="0065507F"/>
    <w:rsid w:val="006566AA"/>
    <w:rsid w:val="00657C45"/>
    <w:rsid w:val="006673D0"/>
    <w:rsid w:val="00667A34"/>
    <w:rsid w:val="00673B38"/>
    <w:rsid w:val="00673C5E"/>
    <w:rsid w:val="00691652"/>
    <w:rsid w:val="006955F5"/>
    <w:rsid w:val="006A19B3"/>
    <w:rsid w:val="006A5A2C"/>
    <w:rsid w:val="006B03E4"/>
    <w:rsid w:val="006B28BF"/>
    <w:rsid w:val="006B550B"/>
    <w:rsid w:val="006C3820"/>
    <w:rsid w:val="006C7BE3"/>
    <w:rsid w:val="006D6321"/>
    <w:rsid w:val="006E56C0"/>
    <w:rsid w:val="006F04F1"/>
    <w:rsid w:val="006F3E36"/>
    <w:rsid w:val="0070447B"/>
    <w:rsid w:val="007045AA"/>
    <w:rsid w:val="00704D5E"/>
    <w:rsid w:val="00706C23"/>
    <w:rsid w:val="00707AA8"/>
    <w:rsid w:val="00721397"/>
    <w:rsid w:val="007272EF"/>
    <w:rsid w:val="0073365F"/>
    <w:rsid w:val="007369A3"/>
    <w:rsid w:val="00740ECA"/>
    <w:rsid w:val="00744D41"/>
    <w:rsid w:val="00745F43"/>
    <w:rsid w:val="007503EF"/>
    <w:rsid w:val="00754D56"/>
    <w:rsid w:val="00757657"/>
    <w:rsid w:val="007640DF"/>
    <w:rsid w:val="00765A6E"/>
    <w:rsid w:val="00775333"/>
    <w:rsid w:val="0078152E"/>
    <w:rsid w:val="00786385"/>
    <w:rsid w:val="00790618"/>
    <w:rsid w:val="0079625E"/>
    <w:rsid w:val="007974AB"/>
    <w:rsid w:val="007C0E1B"/>
    <w:rsid w:val="007C34BC"/>
    <w:rsid w:val="007C3FD0"/>
    <w:rsid w:val="007C6FF1"/>
    <w:rsid w:val="007D3C7F"/>
    <w:rsid w:val="007D7792"/>
    <w:rsid w:val="007E22C4"/>
    <w:rsid w:val="007E4F35"/>
    <w:rsid w:val="007F018E"/>
    <w:rsid w:val="007F31E4"/>
    <w:rsid w:val="007F49A4"/>
    <w:rsid w:val="007F6B7F"/>
    <w:rsid w:val="00801A13"/>
    <w:rsid w:val="00801CC4"/>
    <w:rsid w:val="00806323"/>
    <w:rsid w:val="008111BD"/>
    <w:rsid w:val="008220D6"/>
    <w:rsid w:val="00822F4D"/>
    <w:rsid w:val="008302B2"/>
    <w:rsid w:val="00832ACD"/>
    <w:rsid w:val="00834326"/>
    <w:rsid w:val="008410CF"/>
    <w:rsid w:val="0084221F"/>
    <w:rsid w:val="00845891"/>
    <w:rsid w:val="00850644"/>
    <w:rsid w:val="0085398F"/>
    <w:rsid w:val="00862A02"/>
    <w:rsid w:val="00865924"/>
    <w:rsid w:val="00871F72"/>
    <w:rsid w:val="00872179"/>
    <w:rsid w:val="00872793"/>
    <w:rsid w:val="0087340A"/>
    <w:rsid w:val="00884C7F"/>
    <w:rsid w:val="008871D9"/>
    <w:rsid w:val="00890CA1"/>
    <w:rsid w:val="008942EF"/>
    <w:rsid w:val="008A23DB"/>
    <w:rsid w:val="008A333E"/>
    <w:rsid w:val="008A6C3F"/>
    <w:rsid w:val="008C32D7"/>
    <w:rsid w:val="008E195E"/>
    <w:rsid w:val="008E5E4D"/>
    <w:rsid w:val="008E791F"/>
    <w:rsid w:val="008F0898"/>
    <w:rsid w:val="008F4100"/>
    <w:rsid w:val="0090588E"/>
    <w:rsid w:val="00912298"/>
    <w:rsid w:val="0091606A"/>
    <w:rsid w:val="009217AA"/>
    <w:rsid w:val="009378EB"/>
    <w:rsid w:val="00937ACC"/>
    <w:rsid w:val="009400C3"/>
    <w:rsid w:val="00944AB2"/>
    <w:rsid w:val="00945848"/>
    <w:rsid w:val="00947343"/>
    <w:rsid w:val="009568FD"/>
    <w:rsid w:val="00957ED3"/>
    <w:rsid w:val="009601C5"/>
    <w:rsid w:val="00975C30"/>
    <w:rsid w:val="00986AEE"/>
    <w:rsid w:val="009950C5"/>
    <w:rsid w:val="009A497B"/>
    <w:rsid w:val="009A50E5"/>
    <w:rsid w:val="009B557F"/>
    <w:rsid w:val="009C01D0"/>
    <w:rsid w:val="009C34AA"/>
    <w:rsid w:val="009C6DEC"/>
    <w:rsid w:val="009D2A28"/>
    <w:rsid w:val="009D4556"/>
    <w:rsid w:val="009D78D4"/>
    <w:rsid w:val="00A00D1B"/>
    <w:rsid w:val="00A02EB5"/>
    <w:rsid w:val="00A10699"/>
    <w:rsid w:val="00A106B3"/>
    <w:rsid w:val="00A23D10"/>
    <w:rsid w:val="00A2502E"/>
    <w:rsid w:val="00A30632"/>
    <w:rsid w:val="00A524E1"/>
    <w:rsid w:val="00A545C7"/>
    <w:rsid w:val="00A56B43"/>
    <w:rsid w:val="00A61D0D"/>
    <w:rsid w:val="00A66FC7"/>
    <w:rsid w:val="00A73BED"/>
    <w:rsid w:val="00A7549B"/>
    <w:rsid w:val="00A7577B"/>
    <w:rsid w:val="00AA16C2"/>
    <w:rsid w:val="00AA7343"/>
    <w:rsid w:val="00AB0112"/>
    <w:rsid w:val="00AC1EF1"/>
    <w:rsid w:val="00AC2F68"/>
    <w:rsid w:val="00AC67DC"/>
    <w:rsid w:val="00AD3D6A"/>
    <w:rsid w:val="00AD4640"/>
    <w:rsid w:val="00AE0779"/>
    <w:rsid w:val="00AE1985"/>
    <w:rsid w:val="00AE46EA"/>
    <w:rsid w:val="00AE55DC"/>
    <w:rsid w:val="00AE6FDE"/>
    <w:rsid w:val="00AE7431"/>
    <w:rsid w:val="00AE7861"/>
    <w:rsid w:val="00AF50D1"/>
    <w:rsid w:val="00B04DB6"/>
    <w:rsid w:val="00B1485F"/>
    <w:rsid w:val="00B20A09"/>
    <w:rsid w:val="00B23B43"/>
    <w:rsid w:val="00B24922"/>
    <w:rsid w:val="00B2723D"/>
    <w:rsid w:val="00B4559B"/>
    <w:rsid w:val="00B51274"/>
    <w:rsid w:val="00B6686F"/>
    <w:rsid w:val="00B721CA"/>
    <w:rsid w:val="00B74451"/>
    <w:rsid w:val="00B82480"/>
    <w:rsid w:val="00B84473"/>
    <w:rsid w:val="00B84A1C"/>
    <w:rsid w:val="00B96CB9"/>
    <w:rsid w:val="00BA688C"/>
    <w:rsid w:val="00BA71BA"/>
    <w:rsid w:val="00BA7D10"/>
    <w:rsid w:val="00BB4643"/>
    <w:rsid w:val="00BD5134"/>
    <w:rsid w:val="00BD5D90"/>
    <w:rsid w:val="00BD6964"/>
    <w:rsid w:val="00BE48AF"/>
    <w:rsid w:val="00BE7664"/>
    <w:rsid w:val="00C0284E"/>
    <w:rsid w:val="00C03CE3"/>
    <w:rsid w:val="00C144EE"/>
    <w:rsid w:val="00C16D6D"/>
    <w:rsid w:val="00C3659D"/>
    <w:rsid w:val="00C379C4"/>
    <w:rsid w:val="00C47C65"/>
    <w:rsid w:val="00C51198"/>
    <w:rsid w:val="00C542E4"/>
    <w:rsid w:val="00C54CBC"/>
    <w:rsid w:val="00C57873"/>
    <w:rsid w:val="00C63151"/>
    <w:rsid w:val="00C654C3"/>
    <w:rsid w:val="00C67344"/>
    <w:rsid w:val="00C71DDA"/>
    <w:rsid w:val="00C72820"/>
    <w:rsid w:val="00C819FA"/>
    <w:rsid w:val="00C8670D"/>
    <w:rsid w:val="00C97AF4"/>
    <w:rsid w:val="00CA6CFB"/>
    <w:rsid w:val="00CB30CA"/>
    <w:rsid w:val="00CB40AE"/>
    <w:rsid w:val="00CC4080"/>
    <w:rsid w:val="00CC563F"/>
    <w:rsid w:val="00CE0C23"/>
    <w:rsid w:val="00CE1286"/>
    <w:rsid w:val="00CE1318"/>
    <w:rsid w:val="00CE5E1B"/>
    <w:rsid w:val="00CE6F87"/>
    <w:rsid w:val="00CF1A8D"/>
    <w:rsid w:val="00D0124C"/>
    <w:rsid w:val="00D01542"/>
    <w:rsid w:val="00D01BA7"/>
    <w:rsid w:val="00D06936"/>
    <w:rsid w:val="00D06FD3"/>
    <w:rsid w:val="00D21ED1"/>
    <w:rsid w:val="00D26C82"/>
    <w:rsid w:val="00D30115"/>
    <w:rsid w:val="00D51FDA"/>
    <w:rsid w:val="00D646CE"/>
    <w:rsid w:val="00D666A3"/>
    <w:rsid w:val="00D728D0"/>
    <w:rsid w:val="00D7678A"/>
    <w:rsid w:val="00D82134"/>
    <w:rsid w:val="00D86499"/>
    <w:rsid w:val="00D91120"/>
    <w:rsid w:val="00D94937"/>
    <w:rsid w:val="00D9724F"/>
    <w:rsid w:val="00DA15DD"/>
    <w:rsid w:val="00DA2EA0"/>
    <w:rsid w:val="00DA2FD5"/>
    <w:rsid w:val="00DB0390"/>
    <w:rsid w:val="00DB1DE6"/>
    <w:rsid w:val="00DB3D22"/>
    <w:rsid w:val="00DB4BED"/>
    <w:rsid w:val="00DB77E1"/>
    <w:rsid w:val="00DC150A"/>
    <w:rsid w:val="00DC3C3C"/>
    <w:rsid w:val="00DC53FA"/>
    <w:rsid w:val="00DC709E"/>
    <w:rsid w:val="00DE6262"/>
    <w:rsid w:val="00DE76B2"/>
    <w:rsid w:val="00DF01B6"/>
    <w:rsid w:val="00DF440E"/>
    <w:rsid w:val="00E03279"/>
    <w:rsid w:val="00E036FC"/>
    <w:rsid w:val="00E03D6E"/>
    <w:rsid w:val="00E06A1B"/>
    <w:rsid w:val="00E17E2F"/>
    <w:rsid w:val="00E20149"/>
    <w:rsid w:val="00E37E1C"/>
    <w:rsid w:val="00E444AE"/>
    <w:rsid w:val="00E526EE"/>
    <w:rsid w:val="00E534A0"/>
    <w:rsid w:val="00E72EBA"/>
    <w:rsid w:val="00E77869"/>
    <w:rsid w:val="00E825B3"/>
    <w:rsid w:val="00E85021"/>
    <w:rsid w:val="00E92054"/>
    <w:rsid w:val="00E935D1"/>
    <w:rsid w:val="00EA0EE4"/>
    <w:rsid w:val="00EA4A32"/>
    <w:rsid w:val="00EB0EFD"/>
    <w:rsid w:val="00EB5A83"/>
    <w:rsid w:val="00EC566A"/>
    <w:rsid w:val="00EC5FBC"/>
    <w:rsid w:val="00EC62AF"/>
    <w:rsid w:val="00EE3B95"/>
    <w:rsid w:val="00EE55A8"/>
    <w:rsid w:val="00EE7A1D"/>
    <w:rsid w:val="00EF0CCB"/>
    <w:rsid w:val="00EF6FB3"/>
    <w:rsid w:val="00F019B8"/>
    <w:rsid w:val="00F05C74"/>
    <w:rsid w:val="00F10B0B"/>
    <w:rsid w:val="00F14D0D"/>
    <w:rsid w:val="00F40970"/>
    <w:rsid w:val="00F5079E"/>
    <w:rsid w:val="00F61D3F"/>
    <w:rsid w:val="00F802A8"/>
    <w:rsid w:val="00F82AE8"/>
    <w:rsid w:val="00F845F4"/>
    <w:rsid w:val="00F85B74"/>
    <w:rsid w:val="00F93690"/>
    <w:rsid w:val="00FA00F5"/>
    <w:rsid w:val="00FA139B"/>
    <w:rsid w:val="00FA3B6F"/>
    <w:rsid w:val="00FA635F"/>
    <w:rsid w:val="00FA6BAE"/>
    <w:rsid w:val="00FB5C7B"/>
    <w:rsid w:val="00FD1B57"/>
    <w:rsid w:val="00FD29F1"/>
    <w:rsid w:val="00FD43F1"/>
    <w:rsid w:val="00FE0A33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4E9709A9"/>
  <w15:chartTrackingRefBased/>
  <w15:docId w15:val="{A6ABDE40-9AC1-4D2E-A323-6BEFA0A7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4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9C5"/>
    <w:pP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B57"/>
    <w:pPr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1B57"/>
    <w:pPr>
      <w:spacing w:line="240" w:lineRule="auto"/>
      <w:outlineLvl w:val="2"/>
    </w:pPr>
    <w:rPr>
      <w:rFonts w:ascii="Times New Roman" w:hAnsi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470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7083"/>
    <w:pPr>
      <w:ind w:left="720"/>
    </w:pPr>
    <w:rPr>
      <w:rFonts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C6E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6ED9"/>
  </w:style>
  <w:style w:type="character" w:styleId="FootnoteReference">
    <w:name w:val="footnote reference"/>
    <w:uiPriority w:val="99"/>
    <w:semiHidden/>
    <w:unhideWhenUsed/>
    <w:rsid w:val="003C6E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473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844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4473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8447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F6D6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862A02"/>
    <w:pPr>
      <w:spacing w:after="0" w:line="240" w:lineRule="auto"/>
    </w:pPr>
    <w:rPr>
      <w:rFonts w:ascii="Cambria" w:eastAsia="MS Mincho" w:hAnsi="Cambria"/>
      <w:sz w:val="20"/>
      <w:szCs w:val="20"/>
      <w:lang w:val="x-none" w:eastAsia="ja-JP"/>
    </w:rPr>
  </w:style>
  <w:style w:type="character" w:customStyle="1" w:styleId="EndnoteTextChar">
    <w:name w:val="Endnote Text Char"/>
    <w:link w:val="EndnoteText"/>
    <w:uiPriority w:val="99"/>
    <w:rsid w:val="00862A02"/>
    <w:rPr>
      <w:rFonts w:ascii="Cambria" w:eastAsia="MS Mincho" w:hAnsi="Cambria" w:cs="Times New Roman"/>
      <w:lang w:eastAsia="ja-JP"/>
    </w:rPr>
  </w:style>
  <w:style w:type="character" w:styleId="EndnoteReference">
    <w:name w:val="endnote reference"/>
    <w:uiPriority w:val="99"/>
    <w:semiHidden/>
    <w:unhideWhenUsed/>
    <w:rsid w:val="00862A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6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3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39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67395"/>
    <w:rPr>
      <w:b/>
      <w:bCs/>
    </w:rPr>
  </w:style>
  <w:style w:type="character" w:styleId="FollowedHyperlink">
    <w:name w:val="FollowedHyperlink"/>
    <w:rsid w:val="00A23D10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49C5"/>
    <w:rPr>
      <w:rFonts w:ascii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1B57"/>
    <w:rPr>
      <w:rFonts w:ascii="Times New Roman" w:hAnsi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D1B57"/>
    <w:rPr>
      <w:rFonts w:ascii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356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pay-administration/fact-sheets/physicians-comparability-allowan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F0DA-ABF2-417E-BD11-07CD6377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OMB</Company>
  <LinksUpToDate>false</LinksUpToDate>
  <CharactersWithSpaces>3282</CharactersWithSpaces>
  <SharedDoc>false</SharedDoc>
  <HLinks>
    <vt:vector size="6" baseType="variant"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https://www.opm.gov/policy-data-oversight/pay-leave/pay-administration/fact-sheets/physicians-comparability-allowances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Physicians’ Comparability Allowance (PCA) Worksheet</dc:title>
  <dc:subject/>
  <dc:creator>sellheim_w3;U.S. Office of Personnel Management</dc:creator>
  <cp:keywords/>
  <cp:lastModifiedBy>Grace O'Donnell</cp:lastModifiedBy>
  <cp:revision>8</cp:revision>
  <cp:lastPrinted>2011-08-15T14:57:00Z</cp:lastPrinted>
  <dcterms:created xsi:type="dcterms:W3CDTF">2024-04-17T17:46:00Z</dcterms:created>
  <dcterms:modified xsi:type="dcterms:W3CDTF">2024-04-17T21:41:00Z</dcterms:modified>
</cp:coreProperties>
</file>